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76320">
      <w:pPr>
        <w:pStyle w:val="7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center"/>
        <w:rPr>
          <w:rFonts w:hint="default" w:ascii="Arial" w:hAnsi="Arial" w:eastAsia="Times New Roman" w:cs="Arial"/>
          <w:b/>
          <w:bCs/>
          <w:lang w:val="pt-BR"/>
        </w:rPr>
      </w:pPr>
      <w:r>
        <w:rPr>
          <w:rFonts w:ascii="Arial" w:hAnsi="Arial" w:eastAsia="Times New Roman" w:cs="Arial"/>
          <w:b/>
          <w:bCs/>
        </w:rPr>
        <w:t xml:space="preserve">SOLICITAÇÃO DE DEMANDA – SD Nº </w:t>
      </w:r>
      <w:r>
        <w:rPr>
          <w:rFonts w:hint="default" w:ascii="Arial" w:hAnsi="Arial" w:eastAsia="Times New Roman" w:cs="Arial"/>
          <w:b/>
          <w:bCs/>
          <w:lang w:val="pt-BR"/>
        </w:rPr>
        <w:t>05</w:t>
      </w:r>
      <w:bookmarkStart w:id="0" w:name="_GoBack"/>
      <w:bookmarkEnd w:id="0"/>
      <w:r>
        <w:rPr>
          <w:rFonts w:hint="default" w:ascii="Arial" w:hAnsi="Arial" w:eastAsia="Times New Roman" w:cs="Arial"/>
          <w:b/>
          <w:bCs/>
          <w:lang w:val="pt-BR"/>
        </w:rPr>
        <w:t>/2025</w:t>
      </w:r>
    </w:p>
    <w:p w14:paraId="2756333B">
      <w:pPr>
        <w:pStyle w:val="7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center"/>
        <w:rPr>
          <w:rFonts w:ascii="Arial" w:hAnsi="Arial" w:eastAsia="Times New Roman" w:cs="Arial"/>
          <w:b/>
          <w:bCs/>
        </w:rPr>
      </w:pPr>
    </w:p>
    <w:tbl>
      <w:tblPr>
        <w:tblStyle w:val="3"/>
        <w:tblW w:w="8790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90"/>
      </w:tblGrid>
      <w:tr w14:paraId="0EE6A0A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7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403556">
            <w:pPr>
              <w:pStyle w:val="8"/>
              <w:spacing w:line="25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INTRODUÇÃO</w:t>
            </w:r>
          </w:p>
        </w:tc>
      </w:tr>
      <w:tr w14:paraId="5D7F4ED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78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D38BB8">
            <w:pPr>
              <w:snapToGrid w:val="0"/>
              <w:spacing w:before="57" w:after="57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 presente documento visa padronizar a demanda e consolidar informações e documentos necessários </w:t>
            </w:r>
            <w:r>
              <w:rPr>
                <w:rFonts w:hint="default" w:ascii="Arial" w:hAnsi="Arial" w:cs="Arial"/>
                <w:b/>
                <w:lang w:val="pt-BR"/>
              </w:rPr>
              <w:t xml:space="preserve">para </w:t>
            </w:r>
            <w:r>
              <w:rPr>
                <w:rFonts w:hint="default" w:ascii="Arial" w:hAnsi="Arial" w:cs="Arial"/>
                <w:b/>
                <w:iCs/>
                <w:sz w:val="24"/>
                <w:szCs w:val="24"/>
                <w:lang w:val="pt-BR"/>
              </w:rPr>
              <w:t xml:space="preserve">AQUISIÇÃO DE PAVER, MEIO FIO, LAJOTA SEXTAVADA E GUIA DE TRAVAMENTO, PARA O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lang w:val="pt-BR"/>
              </w:rPr>
              <w:t>CONSÓRCIO PUBLICO INTERMUNICOPAL DE DESENVOLVIMENTO DO TERRITORIO NORDESTE DO PARANÁ - CODENOP</w:t>
            </w:r>
          </w:p>
          <w:p w14:paraId="029A0DD4">
            <w:pPr>
              <w:snapToGrid w:val="0"/>
              <w:spacing w:before="57" w:after="57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Em conformidade com a Lei de Licitações e Contratos, a fase de Planejamento da Contratação terá início com o recebimento do Documento de Oficialização da Demanda pela Área de Licitações. Este documento deverá ser elaborado pelo Departamento Demandante.</w:t>
            </w:r>
          </w:p>
        </w:tc>
      </w:tr>
    </w:tbl>
    <w:p w14:paraId="2BA4D289">
      <w:pPr>
        <w:rPr>
          <w:rFonts w:ascii="Arial" w:hAnsi="Arial" w:cs="Arial"/>
          <w:b/>
          <w:bCs/>
          <w:lang w:eastAsia="en-US"/>
        </w:rPr>
      </w:pPr>
    </w:p>
    <w:tbl>
      <w:tblPr>
        <w:tblStyle w:val="3"/>
        <w:tblW w:w="87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4"/>
        <w:gridCol w:w="4146"/>
      </w:tblGrid>
      <w:tr w14:paraId="2CF5C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</w:trPr>
        <w:tc>
          <w:tcPr>
            <w:tcW w:w="8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</w:tcPr>
          <w:p w14:paraId="1EE728C9">
            <w:pPr>
              <w:pStyle w:val="6"/>
              <w:spacing w:before="120" w:after="120" w:line="256" w:lineRule="auto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1 – IDENTIFICAÇÃO DA ÁREA REQUISITANTE</w:t>
            </w:r>
          </w:p>
        </w:tc>
      </w:tr>
      <w:tr w14:paraId="28783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</w:trPr>
        <w:tc>
          <w:tcPr>
            <w:tcW w:w="8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975B5">
            <w:pPr>
              <w:pStyle w:val="6"/>
              <w:spacing w:before="120" w:after="120" w:line="256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Setor Requisitante: Consorcio Publico Intermunipal de Desenvolvimento do Territorio Nordeste do Paraná</w:t>
            </w:r>
          </w:p>
        </w:tc>
      </w:tr>
      <w:tr w14:paraId="598B5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4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21F87">
            <w:pPr>
              <w:pStyle w:val="6"/>
              <w:spacing w:before="120" w:after="120" w:line="256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Nome do ordenador:  </w:t>
            </w:r>
            <w:r>
              <w:rPr>
                <w:rFonts w:ascii="Arial" w:hAnsi="Arial" w:cs="Arial"/>
              </w:rPr>
              <w:t>DIANARA CHRISTINA MARTINS PEREIRA</w:t>
            </w:r>
          </w:p>
        </w:tc>
        <w:tc>
          <w:tcPr>
            <w:tcW w:w="4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36A20">
            <w:pPr>
              <w:pStyle w:val="6"/>
              <w:spacing w:before="120" w:after="120" w:line="256" w:lineRule="auto"/>
              <w:rPr>
                <w:rFonts w:hint="default" w:ascii="Arial" w:hAnsi="Arial" w:cs="Arial"/>
                <w:color w:val="auto"/>
                <w:lang w:val="pt-BR"/>
              </w:rPr>
            </w:pPr>
            <w:r>
              <w:rPr>
                <w:rFonts w:ascii="Arial" w:hAnsi="Arial" w:cs="Arial"/>
                <w:color w:val="auto"/>
              </w:rPr>
              <w:t>Cargo: Diretor</w:t>
            </w:r>
            <w:r>
              <w:rPr>
                <w:rFonts w:hint="default" w:ascii="Arial" w:hAnsi="Arial" w:cs="Arial"/>
                <w:color w:val="auto"/>
                <w:lang w:val="pt-BR"/>
              </w:rPr>
              <w:t>a</w:t>
            </w:r>
            <w:r>
              <w:rPr>
                <w:rFonts w:ascii="Arial" w:hAnsi="Arial" w:cs="Arial"/>
                <w:color w:val="auto"/>
              </w:rPr>
              <w:t xml:space="preserve"> Executiv</w:t>
            </w:r>
            <w:r>
              <w:rPr>
                <w:rFonts w:hint="default" w:ascii="Arial" w:hAnsi="Arial" w:cs="Arial"/>
                <w:color w:val="auto"/>
                <w:lang w:val="pt-BR"/>
              </w:rPr>
              <w:t>a</w:t>
            </w:r>
          </w:p>
        </w:tc>
      </w:tr>
      <w:tr w14:paraId="29969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4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66A70">
            <w:pPr>
              <w:pStyle w:val="6"/>
              <w:spacing w:before="120" w:after="120" w:line="256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i w:val="0"/>
                <w:iCs w:val="0"/>
                <w:color w:val="auto"/>
              </w:rPr>
              <w:t>E-mail institucional:</w:t>
            </w:r>
            <w:r>
              <w:rPr>
                <w:rFonts w:ascii="Arial" w:hAnsi="Arial" w:cs="Arial"/>
                <w:color w:val="auto"/>
              </w:rPr>
              <w:t xml:space="preserve"> consorciocodenop@gmail.com.br</w:t>
            </w:r>
          </w:p>
        </w:tc>
        <w:tc>
          <w:tcPr>
            <w:tcW w:w="4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AA5D1">
            <w:pPr>
              <w:pStyle w:val="6"/>
              <w:spacing w:before="120" w:after="120" w:line="256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Fone: 43 3267 1074</w:t>
            </w:r>
          </w:p>
        </w:tc>
      </w:tr>
    </w:tbl>
    <w:p w14:paraId="33F9B7F6">
      <w:pPr>
        <w:rPr>
          <w:rFonts w:ascii="Arial" w:hAnsi="Arial" w:cs="Arial"/>
          <w:lang w:eastAsia="en-US"/>
        </w:rPr>
      </w:pPr>
    </w:p>
    <w:tbl>
      <w:tblPr>
        <w:tblStyle w:val="3"/>
        <w:tblW w:w="87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5"/>
        <w:gridCol w:w="296"/>
        <w:gridCol w:w="4189"/>
      </w:tblGrid>
      <w:tr w14:paraId="42A96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</w:trPr>
        <w:tc>
          <w:tcPr>
            <w:tcW w:w="8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/>
          </w:tcPr>
          <w:p w14:paraId="060516B5">
            <w:pPr>
              <w:pStyle w:val="6"/>
              <w:spacing w:before="120" w:beforeLines="50" w:after="120" w:afterLines="50" w:line="256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>2</w:t>
            </w:r>
            <w:r>
              <w:rPr>
                <w:rFonts w:ascii="Arial" w:hAnsi="Arial" w:cs="Arial"/>
                <w:b/>
                <w:color w:val="auto"/>
              </w:rPr>
              <w:t xml:space="preserve">– </w:t>
            </w:r>
            <w:r>
              <w:rPr>
                <w:rFonts w:ascii="Arial" w:hAnsi="Arial" w:cs="Arial"/>
                <w:b/>
                <w:bCs/>
                <w:color w:val="auto"/>
              </w:rPr>
              <w:t xml:space="preserve">INFORMAÇÕES GERAIS </w:t>
            </w:r>
          </w:p>
        </w:tc>
      </w:tr>
      <w:tr w14:paraId="386F0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34BCB">
            <w:pPr>
              <w:pStyle w:val="6"/>
              <w:spacing w:before="120" w:beforeLines="50" w:after="120" w:afterLines="50" w:line="256" w:lineRule="auto"/>
              <w:rPr>
                <w:rFonts w:hint="default" w:ascii="Arial" w:hAnsi="Arial" w:cs="Arial"/>
                <w:color w:val="auto"/>
                <w:lang w:val="pt-BR"/>
              </w:rPr>
            </w:pPr>
            <w:r>
              <w:rPr>
                <w:rFonts w:ascii="Arial" w:hAnsi="Arial" w:cs="Arial"/>
                <w:color w:val="auto"/>
              </w:rPr>
              <w:t>Nº do processo administrativo anterio</w:t>
            </w:r>
            <w:r>
              <w:rPr>
                <w:rFonts w:hint="default" w:ascii="Arial" w:hAnsi="Arial" w:cs="Arial"/>
                <w:color w:val="auto"/>
                <w:lang w:val="pt-BR"/>
              </w:rPr>
              <w:t>r</w:t>
            </w:r>
          </w:p>
        </w:tc>
        <w:tc>
          <w:tcPr>
            <w:tcW w:w="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C0C38">
            <w:pPr>
              <w:pStyle w:val="6"/>
              <w:spacing w:before="120" w:beforeLines="50" w:after="120" w:afterLines="50" w:line="256" w:lineRule="auto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: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68B57">
            <w:pPr>
              <w:pStyle w:val="6"/>
              <w:spacing w:before="120" w:beforeLines="50" w:after="120" w:afterLines="50" w:line="256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Não se aplica</w:t>
            </w:r>
          </w:p>
        </w:tc>
      </w:tr>
      <w:tr w14:paraId="1BD9A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AE295">
            <w:pPr>
              <w:pStyle w:val="6"/>
              <w:spacing w:before="120" w:beforeLines="50" w:after="120" w:afterLines="50" w:line="256" w:lineRule="auto"/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Modalidade adotada na contratação anterior, se for o caso:</w:t>
            </w:r>
          </w:p>
        </w:tc>
        <w:tc>
          <w:tcPr>
            <w:tcW w:w="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8C835">
            <w:pPr>
              <w:pStyle w:val="6"/>
              <w:spacing w:before="120" w:beforeLines="50" w:after="120" w:afterLines="50" w:line="256" w:lineRule="auto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: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23AD3">
            <w:pPr>
              <w:pStyle w:val="6"/>
              <w:spacing w:before="120" w:beforeLines="50" w:after="120" w:afterLines="50" w:line="256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Não se aplica</w:t>
            </w:r>
          </w:p>
        </w:tc>
      </w:tr>
      <w:tr w14:paraId="214A3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7BD95">
            <w:pPr>
              <w:pStyle w:val="6"/>
              <w:spacing w:before="120" w:beforeLines="50" w:after="120" w:afterLines="50" w:line="256" w:lineRule="auto"/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Gestor/gerenciador do futuro contrato </w:t>
            </w:r>
            <w:r>
              <w:rPr>
                <w:rFonts w:ascii="Arial" w:hAnsi="Arial" w:cs="Arial"/>
                <w:b/>
                <w:color w:val="auto"/>
              </w:rPr>
              <w:t>ou</w:t>
            </w:r>
            <w:r>
              <w:rPr>
                <w:rFonts w:ascii="Arial" w:hAnsi="Arial" w:cs="Arial"/>
                <w:color w:val="auto"/>
              </w:rPr>
              <w:t xml:space="preserve"> ata de registro de preços</w:t>
            </w:r>
          </w:p>
        </w:tc>
        <w:tc>
          <w:tcPr>
            <w:tcW w:w="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EB9FD">
            <w:pPr>
              <w:pStyle w:val="6"/>
              <w:spacing w:before="120" w:beforeLines="50" w:after="120" w:afterLines="50" w:line="256" w:lineRule="auto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: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B8548">
            <w:pPr>
              <w:pStyle w:val="6"/>
              <w:spacing w:before="120" w:beforeLines="50" w:after="120" w:afterLines="50" w:line="256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 xml:space="preserve">Dianara </w:t>
            </w:r>
            <w:r>
              <w:rPr>
                <w:rFonts w:hint="default" w:ascii="Arial" w:hAnsi="Arial" w:cs="Arial"/>
                <w:lang w:val="pt-BR"/>
              </w:rPr>
              <w:t>C</w:t>
            </w:r>
            <w:r>
              <w:rPr>
                <w:rFonts w:ascii="Arial" w:hAnsi="Arial" w:cs="Arial"/>
              </w:rPr>
              <w:t xml:space="preserve">hristina </w:t>
            </w:r>
            <w:r>
              <w:rPr>
                <w:rFonts w:hint="default" w:ascii="Arial" w:hAnsi="Arial" w:cs="Arial"/>
                <w:lang w:val="pt-BR"/>
              </w:rPr>
              <w:t>M</w:t>
            </w:r>
            <w:r>
              <w:rPr>
                <w:rFonts w:ascii="Arial" w:hAnsi="Arial" w:cs="Arial"/>
              </w:rPr>
              <w:t xml:space="preserve">artins </w:t>
            </w:r>
            <w:r>
              <w:rPr>
                <w:rFonts w:hint="default" w:ascii="Arial" w:hAnsi="Arial" w:cs="Arial"/>
                <w:lang w:val="pt-BR"/>
              </w:rPr>
              <w:t>P</w:t>
            </w:r>
            <w:r>
              <w:rPr>
                <w:rFonts w:ascii="Arial" w:hAnsi="Arial" w:cs="Arial"/>
              </w:rPr>
              <w:t>ereira</w:t>
            </w:r>
          </w:p>
        </w:tc>
      </w:tr>
      <w:tr w14:paraId="14478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B42B1">
            <w:pPr>
              <w:pStyle w:val="6"/>
              <w:spacing w:before="120" w:beforeLines="50" w:after="120" w:afterLines="50" w:line="256" w:lineRule="auto"/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Servidor responsável indicado para auxiliar no planejamento da contratação, se for o caso </w:t>
            </w:r>
          </w:p>
        </w:tc>
        <w:tc>
          <w:tcPr>
            <w:tcW w:w="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437D8">
            <w:pPr>
              <w:pStyle w:val="6"/>
              <w:spacing w:before="120" w:beforeLines="50" w:after="120" w:afterLines="50" w:line="256" w:lineRule="auto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: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D6420">
            <w:pPr>
              <w:pStyle w:val="6"/>
              <w:spacing w:before="120" w:beforeLines="50" w:after="120" w:afterLines="50" w:line="256" w:lineRule="auto"/>
              <w:rPr>
                <w:rFonts w:hint="default" w:ascii="Arial" w:hAnsi="Arial" w:cs="Arial"/>
                <w:color w:val="auto"/>
                <w:lang w:val="pt-BR"/>
              </w:rPr>
            </w:pPr>
            <w:r>
              <w:rPr>
                <w:rFonts w:hint="default" w:ascii="Arial" w:hAnsi="Arial" w:cs="Arial"/>
                <w:b w:val="0"/>
                <w:bCs/>
                <w:lang w:val="pt-BR"/>
              </w:rPr>
              <w:t>Joel da Silva Vieira</w:t>
            </w:r>
          </w:p>
        </w:tc>
      </w:tr>
      <w:tr w14:paraId="0B72F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072C8">
            <w:pPr>
              <w:pStyle w:val="6"/>
              <w:spacing w:before="120" w:beforeLines="50" w:after="120" w:afterLines="50" w:line="256" w:lineRule="auto"/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Fiscal (s) do contrato indicado (s) pelo ordenador de despesas </w:t>
            </w:r>
          </w:p>
        </w:tc>
        <w:tc>
          <w:tcPr>
            <w:tcW w:w="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362FE">
            <w:pPr>
              <w:pStyle w:val="6"/>
              <w:spacing w:before="120" w:beforeLines="50" w:after="120" w:afterLines="50" w:line="256" w:lineRule="auto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: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C98D1">
            <w:pPr>
              <w:pStyle w:val="6"/>
              <w:spacing w:before="120" w:beforeLines="50" w:after="120" w:afterLines="50" w:line="256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Comissão de Fiscalização e/ou Servidor designado posteriormente a este ato</w:t>
            </w:r>
          </w:p>
        </w:tc>
      </w:tr>
      <w:tr w14:paraId="38EC6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CC71F">
            <w:pPr>
              <w:pStyle w:val="6"/>
              <w:spacing w:before="120" w:beforeLines="50" w:after="120" w:afterLines="50" w:line="256" w:lineRule="auto"/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Gestor do contrato indicado pelo ordenador de despesas</w:t>
            </w:r>
          </w:p>
        </w:tc>
        <w:tc>
          <w:tcPr>
            <w:tcW w:w="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E7EC1">
            <w:pPr>
              <w:pStyle w:val="6"/>
              <w:spacing w:before="120" w:beforeLines="50" w:after="120" w:afterLines="50" w:line="256" w:lineRule="auto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: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C071E">
            <w:pPr>
              <w:pStyle w:val="6"/>
              <w:spacing w:before="120" w:beforeLines="50" w:after="120" w:afterLines="50" w:line="256" w:lineRule="auto"/>
              <w:rPr>
                <w:rFonts w:hint="default" w:ascii="Arial" w:hAnsi="Arial" w:cs="Arial"/>
                <w:color w:val="auto"/>
                <w:lang w:val="pt-BR"/>
              </w:rPr>
            </w:pPr>
            <w:r>
              <w:rPr>
                <w:rFonts w:hint="default" w:ascii="Arial" w:hAnsi="Arial" w:cs="Arial"/>
                <w:color w:val="auto"/>
                <w:lang w:val="pt-BR"/>
              </w:rPr>
              <w:t>Ana Paula Gomes Alexandre Sartori</w:t>
            </w:r>
          </w:p>
        </w:tc>
      </w:tr>
      <w:tr w14:paraId="047C7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3ADFE">
            <w:pPr>
              <w:pStyle w:val="6"/>
              <w:spacing w:before="120" w:beforeLines="50" w:after="120" w:afterLines="50" w:line="256" w:lineRule="auto"/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Nº do Contrato ou Ata de Registro de Preços da contratação anterior </w:t>
            </w:r>
          </w:p>
        </w:tc>
        <w:tc>
          <w:tcPr>
            <w:tcW w:w="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267E1">
            <w:pPr>
              <w:pStyle w:val="6"/>
              <w:spacing w:before="120" w:beforeLines="50" w:after="120" w:afterLines="50" w:line="256" w:lineRule="auto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: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CD427">
            <w:pPr>
              <w:pStyle w:val="6"/>
              <w:spacing w:before="120" w:beforeLines="50" w:after="120" w:afterLines="50" w:line="256" w:lineRule="auto"/>
              <w:rPr>
                <w:rFonts w:hint="default" w:ascii="Arial" w:hAnsi="Arial" w:cs="Arial"/>
                <w:color w:val="auto"/>
                <w:lang w:val="pt-BR"/>
              </w:rPr>
            </w:pPr>
            <w:r>
              <w:rPr>
                <w:rFonts w:ascii="Arial" w:hAnsi="Arial" w:cs="Arial"/>
                <w:color w:val="auto"/>
              </w:rPr>
              <w:t>Não se aplica</w:t>
            </w:r>
          </w:p>
        </w:tc>
      </w:tr>
      <w:tr w14:paraId="23AA5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EFFC4">
            <w:pPr>
              <w:pStyle w:val="6"/>
              <w:spacing w:before="120" w:beforeLines="50" w:after="120" w:afterLines="50" w:line="256" w:lineRule="auto"/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Encerramento da vigência do instrumento anterior, se for o caso</w:t>
            </w:r>
          </w:p>
        </w:tc>
        <w:tc>
          <w:tcPr>
            <w:tcW w:w="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86BB9">
            <w:pPr>
              <w:pStyle w:val="6"/>
              <w:spacing w:before="120" w:beforeLines="50" w:after="120" w:afterLines="50" w:line="256" w:lineRule="auto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: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9040A">
            <w:pPr>
              <w:pStyle w:val="6"/>
              <w:spacing w:before="120" w:beforeLines="50" w:after="120" w:afterLines="50" w:line="256" w:lineRule="auto"/>
              <w:rPr>
                <w:rFonts w:hint="default" w:ascii="Arial" w:hAnsi="Arial" w:cs="Arial"/>
                <w:color w:val="auto"/>
                <w:lang w:val="pt-BR"/>
              </w:rPr>
            </w:pPr>
            <w:r>
              <w:rPr>
                <w:rFonts w:ascii="Arial" w:hAnsi="Arial" w:cs="Arial"/>
                <w:color w:val="auto"/>
              </w:rPr>
              <w:t>Não se aplica</w:t>
            </w:r>
          </w:p>
        </w:tc>
      </w:tr>
      <w:tr w14:paraId="0D0B9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98014">
            <w:pPr>
              <w:pStyle w:val="6"/>
              <w:spacing w:before="120" w:beforeLines="50" w:after="120" w:afterLines="50" w:line="256" w:lineRule="auto"/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A licitação anterior foi executada </w:t>
            </w:r>
          </w:p>
        </w:tc>
        <w:tc>
          <w:tcPr>
            <w:tcW w:w="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65ED3">
            <w:pPr>
              <w:pStyle w:val="6"/>
              <w:spacing w:before="120" w:beforeLines="50" w:after="120" w:afterLines="50" w:line="256" w:lineRule="auto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: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C0A09">
            <w:pPr>
              <w:pStyle w:val="6"/>
              <w:spacing w:before="120" w:beforeLines="50" w:after="120" w:afterLines="50" w:line="256" w:lineRule="auto"/>
              <w:rPr>
                <w:rFonts w:hint="default" w:ascii="Arial" w:hAnsi="Arial" w:cs="Arial"/>
                <w:color w:val="auto"/>
                <w:lang w:val="pt-BR"/>
              </w:rPr>
            </w:pPr>
            <w:r>
              <w:rPr>
                <w:rFonts w:ascii="Arial" w:hAnsi="Arial" w:cs="Arial"/>
                <w:color w:val="auto"/>
              </w:rPr>
              <w:t>Não se aplica</w:t>
            </w:r>
          </w:p>
        </w:tc>
      </w:tr>
      <w:tr w14:paraId="16081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7B4D9">
            <w:pPr>
              <w:pStyle w:val="6"/>
              <w:spacing w:before="120" w:beforeLines="50" w:after="120" w:afterLines="50" w:line="256" w:lineRule="auto"/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Pontos de melhoria sugeridos na licitação anterior </w:t>
            </w:r>
          </w:p>
        </w:tc>
        <w:tc>
          <w:tcPr>
            <w:tcW w:w="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622A4">
            <w:pPr>
              <w:pStyle w:val="6"/>
              <w:spacing w:before="120" w:beforeLines="50" w:after="120" w:afterLines="50" w:line="256" w:lineRule="auto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:</w:t>
            </w:r>
          </w:p>
          <w:p w14:paraId="14412FCF">
            <w:pPr>
              <w:pStyle w:val="6"/>
              <w:spacing w:before="120" w:beforeLines="50" w:after="120" w:afterLines="50" w:line="256" w:lineRule="auto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: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1519C">
            <w:pPr>
              <w:pStyle w:val="6"/>
              <w:spacing w:before="120" w:beforeLines="50" w:after="120" w:afterLines="50" w:line="256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Não se aplica</w:t>
            </w:r>
          </w:p>
          <w:p w14:paraId="7E6B0AA6">
            <w:pPr>
              <w:pStyle w:val="6"/>
              <w:spacing w:before="120" w:beforeLines="50" w:after="120" w:afterLines="50" w:line="256" w:lineRule="auto"/>
              <w:rPr>
                <w:rFonts w:ascii="Arial" w:hAnsi="Arial" w:cs="Arial"/>
                <w:color w:val="auto"/>
              </w:rPr>
            </w:pPr>
          </w:p>
        </w:tc>
      </w:tr>
      <w:tr w14:paraId="1AFC5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6CF59">
            <w:pPr>
              <w:pStyle w:val="6"/>
              <w:spacing w:before="120" w:beforeLines="50" w:after="120" w:afterLines="50" w:line="256" w:lineRule="auto"/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Prazo sugerido para a Contratação</w:t>
            </w:r>
          </w:p>
        </w:tc>
        <w:tc>
          <w:tcPr>
            <w:tcW w:w="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AB1F6">
            <w:pPr>
              <w:pStyle w:val="6"/>
              <w:spacing w:before="120" w:beforeLines="50" w:after="120" w:afterLines="50" w:line="256" w:lineRule="auto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: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D222F">
            <w:pPr>
              <w:pStyle w:val="6"/>
              <w:spacing w:before="120" w:beforeLines="50" w:after="120" w:afterLines="50" w:line="256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12 meses</w:t>
            </w:r>
          </w:p>
        </w:tc>
      </w:tr>
      <w:tr w14:paraId="5E033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B412B">
            <w:pPr>
              <w:pStyle w:val="6"/>
              <w:spacing w:before="120" w:beforeLines="50" w:after="120" w:afterLines="50" w:line="256" w:lineRule="auto"/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Prazo de entrega ou execução dos serviços</w:t>
            </w:r>
          </w:p>
        </w:tc>
        <w:tc>
          <w:tcPr>
            <w:tcW w:w="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8ACEF">
            <w:pPr>
              <w:pStyle w:val="6"/>
              <w:spacing w:before="120" w:beforeLines="50" w:after="120" w:afterLines="50" w:line="256" w:lineRule="auto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: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F179B">
            <w:pPr>
              <w:pStyle w:val="6"/>
              <w:spacing w:before="120" w:beforeLines="50" w:after="120" w:afterLines="50" w:line="256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10 dias</w:t>
            </w:r>
          </w:p>
        </w:tc>
      </w:tr>
      <w:tr w14:paraId="4AA27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FF52F">
            <w:pPr>
              <w:pStyle w:val="6"/>
              <w:spacing w:before="120" w:beforeLines="50" w:after="120" w:afterLines="50" w:line="256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Fonte de Recurso </w:t>
            </w:r>
          </w:p>
        </w:tc>
        <w:tc>
          <w:tcPr>
            <w:tcW w:w="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25751">
            <w:pPr>
              <w:pStyle w:val="6"/>
              <w:spacing w:before="120" w:beforeLines="50" w:after="120" w:afterLines="50" w:line="256" w:lineRule="auto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: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60965">
            <w:pPr>
              <w:pStyle w:val="6"/>
              <w:spacing w:before="120" w:beforeLines="50" w:after="120" w:afterLines="50" w:line="256" w:lineRule="auto"/>
              <w:ind w:left="718" w:leftChars="299" w:firstLine="0" w:firstLineChars="0"/>
              <w:rPr>
                <w:rFonts w:hint="default" w:ascii="Arial" w:hAnsi="Arial" w:cs="Arial"/>
                <w:color w:val="auto"/>
                <w:lang w:val="pt-BR"/>
              </w:rPr>
            </w:pPr>
            <w:r>
              <w:rPr>
                <w:rFonts w:hint="default" w:ascii="Arial" w:hAnsi="Arial" w:cs="Arial"/>
                <w:color w:val="auto"/>
                <w:lang w:val="pt-BR"/>
              </w:rPr>
              <w:t>Livre</w:t>
            </w:r>
          </w:p>
        </w:tc>
      </w:tr>
      <w:tr w14:paraId="6750D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BF191">
            <w:pPr>
              <w:pStyle w:val="6"/>
              <w:spacing w:before="120" w:beforeLines="50" w:after="120" w:afterLines="50" w:line="25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Indicação da dotação orçamentária </w:t>
            </w:r>
          </w:p>
        </w:tc>
        <w:tc>
          <w:tcPr>
            <w:tcW w:w="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20DBA">
            <w:pPr>
              <w:pStyle w:val="6"/>
              <w:spacing w:before="120" w:beforeLines="50" w:after="120" w:afterLines="50" w:line="256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: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0A8D5">
            <w:pPr>
              <w:pStyle w:val="6"/>
              <w:spacing w:before="120" w:beforeLines="50" w:after="120" w:afterLines="50" w:line="25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000701.001.15.451.0005-200133.90.30.00.00</w:t>
            </w:r>
            <w:r>
              <w:rPr>
                <w:rFonts w:hint="default" w:ascii="Arial" w:hAnsi="Arial" w:cs="Arial"/>
                <w:sz w:val="24"/>
                <w:szCs w:val="24"/>
                <w:lang w:val="pt-BR"/>
              </w:rPr>
              <w:t>2023</w:t>
            </w:r>
          </w:p>
        </w:tc>
      </w:tr>
      <w:tr w14:paraId="3D0DA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B6CAD">
            <w:pPr>
              <w:pStyle w:val="6"/>
              <w:spacing w:before="120" w:beforeLines="50" w:after="120" w:afterLines="50" w:line="256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Legislação Especial sobre o Objeto</w:t>
            </w:r>
          </w:p>
        </w:tc>
        <w:tc>
          <w:tcPr>
            <w:tcW w:w="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4DA7F">
            <w:pPr>
              <w:pStyle w:val="6"/>
              <w:spacing w:before="120" w:beforeLines="50" w:after="120" w:afterLines="50" w:line="256" w:lineRule="auto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: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F8F72">
            <w:pPr>
              <w:pStyle w:val="6"/>
              <w:spacing w:before="120" w:beforeLines="50" w:after="120" w:afterLines="50" w:line="256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Lei nº 14.300/2022.</w:t>
            </w:r>
          </w:p>
        </w:tc>
      </w:tr>
      <w:tr w14:paraId="5F2B3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66970">
            <w:pPr>
              <w:pStyle w:val="6"/>
              <w:spacing w:before="120" w:beforeLines="50" w:after="120" w:afterLines="50" w:line="256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Regime regente da contratação </w:t>
            </w:r>
          </w:p>
        </w:tc>
        <w:tc>
          <w:tcPr>
            <w:tcW w:w="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D0E99">
            <w:pPr>
              <w:pStyle w:val="6"/>
              <w:spacing w:before="120" w:beforeLines="50" w:after="120" w:afterLines="50" w:line="256" w:lineRule="auto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: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4210B">
            <w:pPr>
              <w:pStyle w:val="6"/>
              <w:spacing w:before="120" w:beforeLines="50" w:after="120" w:afterLines="50" w:line="256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Lei 14.133/2021</w:t>
            </w:r>
          </w:p>
        </w:tc>
      </w:tr>
      <w:tr w14:paraId="1B7AB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6AAA9">
            <w:pPr>
              <w:pStyle w:val="6"/>
              <w:spacing w:line="256" w:lineRule="auto"/>
              <w:jc w:val="both"/>
              <w:rPr>
                <w:rFonts w:ascii="Arial" w:hAnsi="Arial" w:cs="Arial"/>
                <w:i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O objeto solicitado tem relação com a frota de veículos do Consorcio? (Se sim informar o numero do patrimônio do Veículo)</w:t>
            </w:r>
          </w:p>
        </w:tc>
        <w:tc>
          <w:tcPr>
            <w:tcW w:w="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89743">
            <w:pPr>
              <w:pStyle w:val="6"/>
              <w:spacing w:before="120" w:beforeLines="50" w:after="120" w:afterLines="50" w:line="256" w:lineRule="auto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: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154AF">
            <w:pPr>
              <w:pStyle w:val="6"/>
              <w:spacing w:before="120" w:beforeLines="50" w:after="120" w:afterLines="50" w:line="256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(   ) Sim  / Patrimônio_______________</w:t>
            </w:r>
          </w:p>
          <w:p w14:paraId="2739C670">
            <w:pPr>
              <w:pStyle w:val="6"/>
              <w:spacing w:before="120" w:beforeLines="50" w:after="120" w:afterLines="50" w:line="256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(  x ) Não</w:t>
            </w:r>
          </w:p>
        </w:tc>
      </w:tr>
    </w:tbl>
    <w:p w14:paraId="2200D735">
      <w:pPr>
        <w:rPr>
          <w:rFonts w:ascii="Arial" w:hAnsi="Arial" w:cs="Arial"/>
          <w:lang w:eastAsia="en-US"/>
        </w:rPr>
      </w:pPr>
    </w:p>
    <w:tbl>
      <w:tblPr>
        <w:tblStyle w:val="3"/>
        <w:tblW w:w="87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0"/>
      </w:tblGrid>
      <w:tr w14:paraId="64F35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/>
          </w:tcPr>
          <w:p w14:paraId="683894B5">
            <w:pPr>
              <w:pStyle w:val="6"/>
              <w:spacing w:before="60" w:after="60" w:line="256" w:lineRule="auto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 xml:space="preserve">3 </w:t>
            </w:r>
            <w:r>
              <w:rPr>
                <w:rFonts w:ascii="Arial" w:hAnsi="Arial" w:cs="Arial"/>
                <w:b/>
                <w:color w:val="auto"/>
              </w:rPr>
              <w:t xml:space="preserve">– </w:t>
            </w:r>
            <w:r>
              <w:rPr>
                <w:rFonts w:ascii="Arial" w:hAnsi="Arial" w:cs="Arial"/>
                <w:b/>
                <w:bCs/>
                <w:color w:val="auto"/>
              </w:rPr>
              <w:t xml:space="preserve">JUSTIFICATIVA/NECESSIDADE DA CONTRATAÇÃO </w:t>
            </w:r>
          </w:p>
        </w:tc>
      </w:tr>
      <w:tr w14:paraId="762E0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A1661">
            <w:pPr>
              <w:pStyle w:val="6"/>
              <w:spacing w:line="256" w:lineRule="auto"/>
              <w:jc w:val="both"/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  <w:lang w:val="pt-B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pt-BR"/>
              </w:rPr>
              <w:t>A</w:t>
            </w: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quisição de meio-fio, paver e lajota sextavada é justificada por diversos fatores que visam melhorar a infraestrutura urbana, promover a sustentabilidade e garantir a segurança e a estética dos espaços públicos</w:t>
            </w: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pt-BR"/>
              </w:rPr>
              <w:t xml:space="preserve">.  </w:t>
            </w: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O meio-fio é essencial para delimitar calçadas, ruas e áreas verdes, contribuindo para a organização do espaço urbano.</w:t>
            </w: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A utilização de lajotas sextavadas e pavers pode facilitar a drenagem das águas pluviais, reduzindo o acúmulo de água e prevenindo alagamentos.</w:t>
            </w: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Os pavers e lajotas sextavadas permitem a infiltração da água no solo, ajudando a recarregar os lençóis freáticos e minimizando o escoamento superficial, o que é benéfico para o meio ambiente.</w:t>
            </w: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 xml:space="preserve"> A utilização de lajotas sextavadas e pavers proporciona um acabamento estético e moderno, valorizando o espaço e tornando-o mais agradável para os usuários.</w:t>
            </w: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pt-BR"/>
              </w:rPr>
              <w:t xml:space="preserve"> </w:t>
            </w: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Esses materiais oferecem uma variedade de cores e padrões, permitindo a personalização de calçadas, praças e áreas de lazer.</w:t>
            </w: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Pavers e lajotas sextavadas podem ser projetados para oferecer maior aderência, reduzindo o risco de escorregões e quedas, especialmente em áreas públicas.</w:t>
            </w: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pt-BR"/>
              </w:rPr>
              <w:t xml:space="preserve"> </w:t>
            </w: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A pavimentação adequada com esses materiais pode facilitar o deslocamento de pessoas com mobilidade reduzida, garantindo que todos tenham acesso aos espaços urbanos.</w:t>
            </w: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pt-BR"/>
              </w:rPr>
              <w:t xml:space="preserve"> </w:t>
            </w: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Os pavers e lajotas sextavadas são conhecidos por sua durabilidade e resistência ao desgaste, o que reduz a necessidade de manutenção frequente e os custos associados. Em caso de danos, é possível substituir apenas as peças afetadas, ao invés de realizar uma reforma completa, o que é mais econômico e prático. A aquisição desses materiais pode ser necessária para atender às normas e regulamentos de urbanismo e construção, garantindo que os projetos estejam em conformidade com as exigências legais.</w:t>
            </w: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pt-BR"/>
              </w:rPr>
              <w:t xml:space="preserve"> </w:t>
            </w: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A aquisição de meio-fio, paver e lajota sextavada é uma decisão estratégica que traz benefícios significativos para a infraestrutura urbana, a sustentabilidade ambiental, a estética dos espaços e a segurança dos usuários. Esses materiais são investimentos que contribuem para a qualidade de vida nas cidades e para a valorização dos imóveis.</w:t>
            </w:r>
          </w:p>
          <w:p w14:paraId="37FF56CE">
            <w:pPr>
              <w:pStyle w:val="6"/>
              <w:spacing w:line="256" w:lineRule="auto"/>
              <w:jc w:val="both"/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  <w:lang w:val="pt-BR"/>
              </w:rPr>
            </w:pPr>
          </w:p>
          <w:p w14:paraId="0DF4B7F4">
            <w:pPr>
              <w:pStyle w:val="6"/>
              <w:spacing w:line="256" w:lineRule="auto"/>
              <w:jc w:val="both"/>
              <w:rPr>
                <w:rFonts w:hint="default" w:ascii="Arial" w:hAnsi="Arial" w:cs="Arial"/>
                <w:color w:val="auto"/>
                <w:lang w:val="pt-BR"/>
              </w:rPr>
            </w:pPr>
          </w:p>
        </w:tc>
      </w:tr>
    </w:tbl>
    <w:p w14:paraId="2825004F">
      <w:pPr>
        <w:rPr>
          <w:rFonts w:ascii="Arial" w:hAnsi="Arial" w:cs="Arial"/>
          <w:lang w:eastAsia="en-US"/>
        </w:rPr>
      </w:pPr>
    </w:p>
    <w:tbl>
      <w:tblPr>
        <w:tblStyle w:val="3"/>
        <w:tblW w:w="87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0"/>
      </w:tblGrid>
      <w:tr w14:paraId="32F77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</w:trPr>
        <w:tc>
          <w:tcPr>
            <w:tcW w:w="8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/>
          </w:tcPr>
          <w:p w14:paraId="01D0E73B">
            <w:pPr>
              <w:pStyle w:val="6"/>
              <w:spacing w:before="60" w:after="60" w:line="256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 xml:space="preserve">4 </w:t>
            </w:r>
            <w:r>
              <w:rPr>
                <w:rFonts w:ascii="Arial" w:hAnsi="Arial" w:cs="Arial"/>
                <w:b/>
                <w:color w:val="auto"/>
              </w:rPr>
              <w:t xml:space="preserve">– </w:t>
            </w:r>
            <w:r>
              <w:rPr>
                <w:rFonts w:ascii="Arial" w:hAnsi="Arial" w:cs="Arial"/>
                <w:b/>
                <w:bCs/>
                <w:color w:val="auto"/>
              </w:rPr>
              <w:t xml:space="preserve">DAS ESPECIFICAÇÕES TÉCNICAS DO PRODUTO </w:t>
            </w:r>
          </w:p>
        </w:tc>
      </w:tr>
      <w:tr w14:paraId="66064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8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Style w:val="3"/>
              <w:tblW w:w="9851" w:type="dxa"/>
              <w:tblInd w:w="-14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49"/>
              <w:gridCol w:w="1049"/>
              <w:gridCol w:w="7753"/>
            </w:tblGrid>
            <w:tr w14:paraId="01D756D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</w:trPr>
              <w:tc>
                <w:tcPr>
                  <w:tcW w:w="9851" w:type="dxa"/>
                  <w:gridSpan w:val="3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vAlign w:val="center"/>
                </w:tcPr>
                <w:p w14:paraId="709283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b w:val="0"/>
                      <w:bCs w:val="0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pt-BR"/>
                    </w:rPr>
                  </w:pPr>
                  <w:r>
                    <w:rPr>
                      <w:rFonts w:hint="default" w:ascii="Arial" w:hAnsi="Arial" w:eastAsia="SimSun" w:cs="Arial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especificaçã</w:t>
                  </w:r>
                  <w:r>
                    <w:rPr>
                      <w:rFonts w:hint="default" w:ascii="Arial" w:hAnsi="Arial" w:eastAsia="SimSun" w:cs="Arial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pt-BR" w:eastAsia="zh-CN" w:bidi="ar"/>
                    </w:rPr>
                    <w:t>o</w:t>
                  </w:r>
                </w:p>
              </w:tc>
            </w:tr>
            <w:tr w14:paraId="787837D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049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vAlign w:val="center"/>
                </w:tcPr>
                <w:p w14:paraId="41F4EA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lang w:val="pt-BR"/>
                    </w:rPr>
                  </w:pPr>
                  <w:r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lang w:val="pt-BR"/>
                    </w:rPr>
                    <w:t>20.000</w:t>
                  </w:r>
                </w:p>
              </w:tc>
              <w:tc>
                <w:tcPr>
                  <w:tcW w:w="1049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vAlign w:val="center"/>
                </w:tcPr>
                <w:p w14:paraId="2CED16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eastAsia="Times New Roman" w:cs="Arial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lang w:val="en-US" w:eastAsia="pt-BR" w:bidi="ar-SA"/>
                    </w:rPr>
                  </w:pPr>
                  <w:r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lang w:val="en-US" w:eastAsia="pt-BR" w:bidi="ar-SA"/>
                    </w:rPr>
                    <w:t>und</w:t>
                  </w:r>
                </w:p>
              </w:tc>
              <w:tc>
                <w:tcPr>
                  <w:tcW w:w="7753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vAlign w:val="center"/>
                </w:tcPr>
                <w:p w14:paraId="20F95A53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default" w:ascii="Arial" w:hAnsi="Arial" w:eastAsia="Times New Roman" w:cs="Arial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lang w:val="en-US" w:eastAsia="pt-BR" w:bidi="ar-SA"/>
                    </w:rPr>
                  </w:pPr>
                  <w:r>
                    <w:rPr>
                      <w:rFonts w:hint="default" w:ascii="Arial" w:hAnsi="Arial" w:cs="Arial"/>
                      <w:b w:val="0"/>
                      <w:bCs w:val="0"/>
                      <w:sz w:val="20"/>
                      <w:szCs w:val="20"/>
                      <w:lang w:val="pt-BR"/>
                    </w:rPr>
                    <w:t>Fincadinha/guia de travamento em concreto 49x49x9cm</w:t>
                  </w:r>
                </w:p>
              </w:tc>
            </w:tr>
            <w:tr w14:paraId="2BA4BD5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</w:trPr>
              <w:tc>
                <w:tcPr>
                  <w:tcW w:w="1049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vAlign w:val="center"/>
                </w:tcPr>
                <w:p w14:paraId="0752AA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lang w:val="pt-BR"/>
                    </w:rPr>
                  </w:pPr>
                  <w:r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lang w:val="pt-BR"/>
                    </w:rPr>
                    <w:t>5.000</w:t>
                  </w:r>
                </w:p>
              </w:tc>
              <w:tc>
                <w:tcPr>
                  <w:tcW w:w="1049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vAlign w:val="center"/>
                </w:tcPr>
                <w:p w14:paraId="3AF6AA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eastAsia="Times New Roman" w:cs="Arial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lang w:val="pt-BR" w:eastAsia="pt-BR" w:bidi="ar-SA"/>
                    </w:rPr>
                  </w:pPr>
                  <w:r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lang w:val="en-US" w:eastAsia="pt-BR" w:bidi="ar-SA"/>
                    </w:rPr>
                    <w:t>und</w:t>
                  </w:r>
                </w:p>
              </w:tc>
              <w:tc>
                <w:tcPr>
                  <w:tcW w:w="7753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vAlign w:val="center"/>
                </w:tcPr>
                <w:p w14:paraId="75372586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default" w:ascii="Arial" w:hAnsi="Arial" w:eastAsia="Times New Roman" w:cs="Arial"/>
                      <w:b w:val="0"/>
                      <w:bCs w:val="0"/>
                      <w:sz w:val="20"/>
                      <w:szCs w:val="20"/>
                      <w:lang w:val="pt-BR" w:eastAsia="pt-BR" w:bidi="ar-SA"/>
                    </w:rPr>
                  </w:pPr>
                  <w:r>
                    <w:rPr>
                      <w:rFonts w:hint="default" w:ascii="Arial" w:hAnsi="Arial" w:cs="Arial"/>
                      <w:b w:val="0"/>
                      <w:bCs w:val="0"/>
                      <w:sz w:val="20"/>
                      <w:szCs w:val="20"/>
                      <w:lang w:val="pt-BR"/>
                    </w:rPr>
                    <w:t>Meio Fio 1mx12x20</w:t>
                  </w:r>
                </w:p>
              </w:tc>
            </w:tr>
            <w:tr w14:paraId="3B3DEAD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60" w:hRule="atLeast"/>
              </w:trPr>
              <w:tc>
                <w:tcPr>
                  <w:tcW w:w="1049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vAlign w:val="center"/>
                </w:tcPr>
                <w:p w14:paraId="516865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lang w:val="pt-BR"/>
                    </w:rPr>
                  </w:pPr>
                  <w:r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lang w:val="pt-BR"/>
                    </w:rPr>
                    <w:t>640.000</w:t>
                  </w:r>
                </w:p>
              </w:tc>
              <w:tc>
                <w:tcPr>
                  <w:tcW w:w="1049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vAlign w:val="center"/>
                </w:tcPr>
                <w:p w14:paraId="5613C5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eastAsia="Times New Roman" w:cs="Arial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lang w:val="pt-BR" w:eastAsia="pt-BR" w:bidi="ar-SA"/>
                    </w:rPr>
                  </w:pPr>
                  <w:r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lang w:val="en-US" w:eastAsia="pt-BR" w:bidi="ar-SA"/>
                    </w:rPr>
                    <w:t>und</w:t>
                  </w:r>
                </w:p>
              </w:tc>
              <w:tc>
                <w:tcPr>
                  <w:tcW w:w="7753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vAlign w:val="center"/>
                </w:tcPr>
                <w:p w14:paraId="7EE60183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default" w:ascii="Arial" w:hAnsi="Arial" w:eastAsia="Times New Roman" w:cs="Arial"/>
                      <w:b w:val="0"/>
                      <w:bCs w:val="0"/>
                      <w:sz w:val="20"/>
                      <w:szCs w:val="20"/>
                      <w:lang w:val="pt-BR" w:eastAsia="pt-BR" w:bidi="ar-SA"/>
                    </w:rPr>
                  </w:pPr>
                  <w:r>
                    <w:rPr>
                      <w:rFonts w:hint="default" w:ascii="Arial" w:hAnsi="Arial" w:cs="Arial"/>
                      <w:b w:val="0"/>
                      <w:bCs w:val="0"/>
                      <w:sz w:val="20"/>
                      <w:szCs w:val="20"/>
                      <w:lang w:val="pt-BR"/>
                    </w:rPr>
                    <w:t>Lajota de Concreto sexavado 25x25x08</w:t>
                  </w:r>
                </w:p>
              </w:tc>
            </w:tr>
            <w:tr w14:paraId="09B07D1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049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vAlign w:val="center"/>
                </w:tcPr>
                <w:p w14:paraId="659C74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lang w:val="pt-BR"/>
                    </w:rPr>
                  </w:pPr>
                  <w:r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lang w:val="pt-BR"/>
                    </w:rPr>
                    <w:t>450.000</w:t>
                  </w:r>
                </w:p>
              </w:tc>
              <w:tc>
                <w:tcPr>
                  <w:tcW w:w="1049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vAlign w:val="center"/>
                </w:tcPr>
                <w:p w14:paraId="60EA81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eastAsia="Times New Roman" w:cs="Arial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lang w:val="pt-BR" w:eastAsia="pt-BR" w:bidi="ar-SA"/>
                    </w:rPr>
                  </w:pPr>
                  <w:r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lang w:val="en-US" w:eastAsia="pt-BR" w:bidi="ar-SA"/>
                    </w:rPr>
                    <w:t>und</w:t>
                  </w:r>
                </w:p>
              </w:tc>
              <w:tc>
                <w:tcPr>
                  <w:tcW w:w="7753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noWrap/>
                  <w:vAlign w:val="center"/>
                </w:tcPr>
                <w:p w14:paraId="40CAA029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default" w:ascii="Arial" w:hAnsi="Arial" w:eastAsia="Times New Roman" w:cs="Arial"/>
                      <w:b w:val="0"/>
                      <w:bCs w:val="0"/>
                      <w:sz w:val="20"/>
                      <w:szCs w:val="20"/>
                      <w:lang w:val="pt-BR" w:eastAsia="pt-BR" w:bidi="ar-SA"/>
                    </w:rPr>
                  </w:pPr>
                  <w:r>
                    <w:rPr>
                      <w:rFonts w:hint="default" w:ascii="Arial" w:hAnsi="Arial" w:cs="Arial"/>
                      <w:b w:val="0"/>
                      <w:bCs w:val="0"/>
                      <w:sz w:val="20"/>
                      <w:szCs w:val="20"/>
                      <w:lang w:val="pt-BR"/>
                    </w:rPr>
                    <w:t xml:space="preserve">Bloco intertravado de cocreto (paver) 4cm 10x20 </w:t>
                  </w:r>
                </w:p>
              </w:tc>
            </w:tr>
            <w:tr w14:paraId="3EBE5F8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049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vAlign w:val="center"/>
                </w:tcPr>
                <w:p w14:paraId="3A7F65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lang w:val="pt-BR"/>
                    </w:rPr>
                  </w:pPr>
                  <w:r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lang w:val="pt-BR"/>
                    </w:rPr>
                    <w:t>450.000</w:t>
                  </w:r>
                </w:p>
              </w:tc>
              <w:tc>
                <w:tcPr>
                  <w:tcW w:w="1049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vAlign w:val="center"/>
                </w:tcPr>
                <w:p w14:paraId="5862128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eastAsia="Times New Roman" w:cs="Arial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lang w:val="pt-BR" w:eastAsia="pt-BR" w:bidi="ar-SA"/>
                    </w:rPr>
                  </w:pPr>
                  <w:r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lang w:val="en-US" w:eastAsia="pt-BR" w:bidi="ar-SA"/>
                    </w:rPr>
                    <w:t>und</w:t>
                  </w:r>
                </w:p>
              </w:tc>
              <w:tc>
                <w:tcPr>
                  <w:tcW w:w="7753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noWrap/>
                  <w:vAlign w:val="center"/>
                </w:tcPr>
                <w:p w14:paraId="43C2D74C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default" w:ascii="Arial" w:hAnsi="Arial" w:eastAsia="Times New Roman" w:cs="Arial"/>
                      <w:b w:val="0"/>
                      <w:bCs w:val="0"/>
                      <w:sz w:val="20"/>
                      <w:szCs w:val="20"/>
                      <w:lang w:val="pt-BR" w:eastAsia="pt-BR" w:bidi="ar-SA"/>
                    </w:rPr>
                  </w:pPr>
                  <w:r>
                    <w:rPr>
                      <w:rFonts w:hint="default" w:ascii="Arial" w:hAnsi="Arial" w:cs="Arial"/>
                      <w:b w:val="0"/>
                      <w:bCs w:val="0"/>
                      <w:sz w:val="20"/>
                      <w:szCs w:val="20"/>
                      <w:lang w:val="pt-BR"/>
                    </w:rPr>
                    <w:t xml:space="preserve">Bloco intertravado de cocreto (paver) 6cm 10x20 </w:t>
                  </w:r>
                </w:p>
              </w:tc>
            </w:tr>
            <w:tr w14:paraId="34604A4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20" w:hRule="atLeast"/>
              </w:trPr>
              <w:tc>
                <w:tcPr>
                  <w:tcW w:w="1049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vAlign w:val="center"/>
                </w:tcPr>
                <w:p w14:paraId="0C75FC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lang w:val="pt-BR"/>
                    </w:rPr>
                  </w:pPr>
                  <w:r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lang w:val="pt-BR"/>
                    </w:rPr>
                    <w:t>1.250.000</w:t>
                  </w:r>
                </w:p>
              </w:tc>
              <w:tc>
                <w:tcPr>
                  <w:tcW w:w="1049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vAlign w:val="center"/>
                </w:tcPr>
                <w:p w14:paraId="301409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eastAsia="Times New Roman" w:cs="Arial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lang w:val="pt-BR" w:eastAsia="pt-BR" w:bidi="ar-SA"/>
                    </w:rPr>
                  </w:pPr>
                  <w:r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lang w:val="en-US" w:eastAsia="pt-BR" w:bidi="ar-SA"/>
                    </w:rPr>
                    <w:t>und</w:t>
                  </w:r>
                </w:p>
              </w:tc>
              <w:tc>
                <w:tcPr>
                  <w:tcW w:w="7753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vAlign w:val="center"/>
                </w:tcPr>
                <w:p w14:paraId="48E431F2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default" w:ascii="Arial" w:hAnsi="Arial" w:eastAsia="Times New Roman" w:cs="Arial"/>
                      <w:b w:val="0"/>
                      <w:bCs w:val="0"/>
                      <w:sz w:val="20"/>
                      <w:szCs w:val="20"/>
                      <w:lang w:val="pt-BR" w:eastAsia="pt-BR" w:bidi="ar-SA"/>
                    </w:rPr>
                  </w:pPr>
                  <w:r>
                    <w:rPr>
                      <w:rFonts w:hint="default" w:ascii="Arial" w:hAnsi="Arial" w:cs="Arial"/>
                      <w:b w:val="0"/>
                      <w:bCs w:val="0"/>
                      <w:sz w:val="20"/>
                      <w:szCs w:val="20"/>
                      <w:lang w:val="pt-BR"/>
                    </w:rPr>
                    <w:t xml:space="preserve">Bloco intertravado de cocreto (paver) 08cm 10x20 </w:t>
                  </w:r>
                </w:p>
              </w:tc>
            </w:tr>
            <w:tr w14:paraId="5D104A2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1049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vAlign w:val="center"/>
                </w:tcPr>
                <w:p w14:paraId="3A734D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lang w:val="pt-BR"/>
                    </w:rPr>
                  </w:pPr>
                  <w:r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lang w:val="pt-BR"/>
                    </w:rPr>
                    <w:t>450.000</w:t>
                  </w:r>
                </w:p>
              </w:tc>
              <w:tc>
                <w:tcPr>
                  <w:tcW w:w="1049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vAlign w:val="center"/>
                </w:tcPr>
                <w:p w14:paraId="7B1A24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 w:eastAsiaTheme="minorEastAsia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lang w:val="pt-BR" w:eastAsia="zh-CN" w:bidi="ar-SA"/>
                    </w:rPr>
                  </w:pPr>
                  <w:r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lang w:val="en-US" w:eastAsia="pt-BR" w:bidi="ar-SA"/>
                    </w:rPr>
                    <w:t>und</w:t>
                  </w:r>
                </w:p>
              </w:tc>
              <w:tc>
                <w:tcPr>
                  <w:tcW w:w="7753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vAlign w:val="center"/>
                </w:tcPr>
                <w:p w14:paraId="30CB5683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default" w:ascii="Arial" w:hAnsi="Arial" w:cs="Arial" w:eastAsiaTheme="minorEastAsia"/>
                      <w:b w:val="0"/>
                      <w:bCs w:val="0"/>
                      <w:sz w:val="20"/>
                      <w:szCs w:val="20"/>
                      <w:lang w:val="pt-BR" w:eastAsia="zh-CN" w:bidi="ar-SA"/>
                    </w:rPr>
                  </w:pPr>
                  <w:r>
                    <w:rPr>
                      <w:rFonts w:hint="default" w:ascii="Arial" w:hAnsi="Arial" w:cs="Arial"/>
                      <w:b w:val="0"/>
                      <w:bCs w:val="0"/>
                      <w:sz w:val="20"/>
                      <w:szCs w:val="20"/>
                      <w:lang w:val="pt-BR"/>
                    </w:rPr>
                    <w:t xml:space="preserve">Bloco intertravado de cocreto (paver) 10cm 10x20 </w:t>
                  </w:r>
                </w:p>
              </w:tc>
            </w:tr>
            <w:tr w14:paraId="46DA173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049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noWrap/>
                  <w:vAlign w:val="bottom"/>
                </w:tcPr>
                <w:p w14:paraId="43CC9F8E">
                  <w:pPr>
                    <w:rPr>
                      <w:rFonts w:hint="eastAsia" w:ascii="Calibri" w:hAnsi="Calibri" w:cs="Calibri"/>
                      <w:b w:val="0"/>
                      <w:bCs w:val="0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049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noWrap/>
                  <w:vAlign w:val="bottom"/>
                </w:tcPr>
                <w:p w14:paraId="595A2520">
                  <w:pPr>
                    <w:rPr>
                      <w:rFonts w:hint="eastAsia" w:ascii="Calibri" w:hAnsi="Calibri" w:cs="Calibri"/>
                      <w:b w:val="0"/>
                      <w:bCs w:val="0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7753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noWrap/>
                  <w:vAlign w:val="bottom"/>
                </w:tcPr>
                <w:p w14:paraId="7BC9D97E">
                  <w:pPr>
                    <w:rPr>
                      <w:rFonts w:hint="default" w:ascii="Calibri" w:hAnsi="Calibri" w:cs="Calibri"/>
                      <w:b w:val="0"/>
                      <w:bCs w:val="0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</w:tbl>
          <w:p w14:paraId="5F7E8E98">
            <w:pPr>
              <w:pStyle w:val="6"/>
              <w:spacing w:line="256" w:lineRule="auto"/>
              <w:rPr>
                <w:rFonts w:ascii="Arial" w:hAnsi="Arial" w:cs="Arial"/>
                <w:color w:val="auto"/>
              </w:rPr>
            </w:pPr>
          </w:p>
          <w:p w14:paraId="3B477997">
            <w:pPr>
              <w:pStyle w:val="6"/>
              <w:spacing w:line="256" w:lineRule="auto"/>
              <w:jc w:val="center"/>
              <w:rPr>
                <w:rFonts w:ascii="Arial" w:hAnsi="Arial" w:cs="Arial"/>
                <w:iCs/>
                <w:color w:val="auto"/>
              </w:rPr>
            </w:pPr>
            <w:r>
              <w:rPr>
                <w:rFonts w:hint="default" w:ascii="Arial" w:hAnsi="Arial" w:cs="Arial"/>
                <w:iCs/>
                <w:color w:val="auto"/>
                <w:lang w:val="pt-BR"/>
              </w:rPr>
              <w:t>São Jerônimo da Serra-Pr, 11 de março de 2025</w:t>
            </w:r>
            <w:r>
              <w:rPr>
                <w:rFonts w:ascii="Arial" w:hAnsi="Arial" w:cs="Arial"/>
                <w:iCs/>
                <w:color w:val="auto"/>
              </w:rPr>
              <w:t>.</w:t>
            </w:r>
          </w:p>
          <w:p w14:paraId="6A7B4719">
            <w:pPr>
              <w:pStyle w:val="6"/>
              <w:spacing w:line="256" w:lineRule="auto"/>
              <w:rPr>
                <w:rFonts w:ascii="Arial" w:hAnsi="Arial" w:cs="Arial"/>
                <w:i/>
                <w:iCs/>
                <w:color w:val="auto"/>
              </w:rPr>
            </w:pPr>
          </w:p>
          <w:p w14:paraId="2C796FE7">
            <w:pPr>
              <w:pStyle w:val="6"/>
              <w:spacing w:line="256" w:lineRule="auto"/>
              <w:jc w:val="center"/>
              <w:rPr>
                <w:rFonts w:hint="default" w:ascii="Arial" w:hAnsi="Arial" w:cs="Arial"/>
                <w:b/>
                <w:i/>
                <w:iCs/>
                <w:color w:val="auto"/>
                <w:lang w:val="pt-BR"/>
              </w:rPr>
            </w:pPr>
            <w:r>
              <w:rPr>
                <w:rFonts w:ascii="Arial" w:hAnsi="Arial" w:cs="Arial"/>
                <w:b/>
                <w:i/>
                <w:iCs/>
                <w:color w:val="auto"/>
              </w:rPr>
              <w:t>__________________</w:t>
            </w:r>
            <w:r>
              <w:rPr>
                <w:rFonts w:hint="default" w:ascii="Arial" w:hAnsi="Arial" w:cs="Arial"/>
                <w:b/>
                <w:i/>
                <w:iCs/>
                <w:color w:val="auto"/>
                <w:lang w:val="pt-BR"/>
              </w:rPr>
              <w:t>____________________</w:t>
            </w:r>
          </w:p>
          <w:p w14:paraId="12DCBD57">
            <w:pPr>
              <w:pStyle w:val="6"/>
              <w:spacing w:line="256" w:lineRule="auto"/>
              <w:jc w:val="center"/>
              <w:rPr>
                <w:rFonts w:hint="default" w:ascii="Arial" w:hAnsi="Arial" w:cs="Arial"/>
                <w:b/>
                <w:sz w:val="22"/>
                <w:u w:val="none"/>
              </w:rPr>
            </w:pPr>
            <w:r>
              <w:rPr>
                <w:rFonts w:hint="default" w:ascii="Arial" w:hAnsi="Arial" w:cs="Arial"/>
                <w:b/>
                <w:sz w:val="22"/>
                <w:u w:val="none"/>
              </w:rPr>
              <w:t>DIANARA CHRISTINA MARTINS</w:t>
            </w:r>
          </w:p>
          <w:p w14:paraId="154204D1">
            <w:pPr>
              <w:pStyle w:val="6"/>
              <w:spacing w:line="256" w:lineRule="auto"/>
              <w:jc w:val="center"/>
              <w:rPr>
                <w:rFonts w:hint="default" w:ascii="Arial" w:hAnsi="Arial" w:cs="Arial"/>
                <w:b/>
                <w:sz w:val="22"/>
                <w:u w:val="none"/>
                <w:lang w:val="pt-BR"/>
              </w:rPr>
            </w:pPr>
            <w:r>
              <w:rPr>
                <w:rFonts w:hint="default" w:ascii="Arial" w:hAnsi="Arial" w:cs="Arial"/>
                <w:b/>
                <w:sz w:val="22"/>
                <w:u w:val="none"/>
                <w:lang w:val="pt-BR"/>
              </w:rPr>
              <w:t>Diretora Executiva</w:t>
            </w:r>
          </w:p>
          <w:p w14:paraId="297BEFDC">
            <w:pPr>
              <w:pStyle w:val="6"/>
              <w:spacing w:line="256" w:lineRule="auto"/>
              <w:jc w:val="center"/>
              <w:rPr>
                <w:rFonts w:ascii="Arial" w:hAnsi="Arial" w:cs="Arial"/>
                <w:b/>
                <w:iCs/>
                <w:color w:val="auto"/>
              </w:rPr>
            </w:pPr>
          </w:p>
          <w:p w14:paraId="50E59571">
            <w:pPr>
              <w:pStyle w:val="6"/>
              <w:spacing w:line="256" w:lineRule="auto"/>
              <w:jc w:val="center"/>
              <w:rPr>
                <w:rFonts w:ascii="Arial" w:hAnsi="Arial" w:cs="Arial"/>
                <w:iCs/>
                <w:color w:val="auto"/>
              </w:rPr>
            </w:pPr>
            <w:r>
              <w:rPr>
                <w:rFonts w:ascii="Arial" w:hAnsi="Arial" w:cs="Arial"/>
                <w:iCs/>
                <w:color w:val="auto"/>
              </w:rPr>
              <w:t>___________________________________________</w:t>
            </w:r>
          </w:p>
          <w:p w14:paraId="2EF57A79">
            <w:pPr>
              <w:jc w:val="center"/>
              <w:rPr>
                <w:rFonts w:ascii="Arial" w:hAnsi="Arial" w:cs="Arial"/>
                <w:b/>
              </w:rPr>
            </w:pPr>
          </w:p>
          <w:p w14:paraId="3D149064">
            <w:pPr>
              <w:jc w:val="center"/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VENICIUS DJALMA ROSA</w:t>
            </w:r>
          </w:p>
          <w:p w14:paraId="79B5792D">
            <w:pPr>
              <w:jc w:val="center"/>
              <w:rPr>
                <w:rFonts w:ascii="Arial" w:hAnsi="Arial" w:cs="Arial"/>
                <w:b/>
                <w:iCs/>
                <w:color w:val="auto"/>
              </w:rPr>
            </w:pPr>
            <w:r>
              <w:rPr>
                <w:rFonts w:ascii="Arial" w:hAnsi="Arial" w:cs="Arial"/>
                <w:b/>
              </w:rPr>
              <w:t>Presidente do Consórcio</w:t>
            </w:r>
          </w:p>
        </w:tc>
      </w:tr>
    </w:tbl>
    <w:p w14:paraId="68467F6F">
      <w:pPr>
        <w:spacing w:line="216" w:lineRule="auto"/>
        <w:ind w:right="1168"/>
        <w:rPr>
          <w:rFonts w:ascii="Arial" w:hAnsi="Arial" w:cs="Arial"/>
          <w:b/>
          <w:u w:val="single"/>
        </w:rPr>
      </w:pPr>
    </w:p>
    <w:p w14:paraId="5A8F176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/>
        <w:tabs>
          <w:tab w:val="left" w:pos="8640"/>
        </w:tabs>
        <w:spacing w:line="216" w:lineRule="auto"/>
        <w:ind w:left="16" w:leftChars="0" w:right="-136" w:rightChars="0" w:hanging="16" w:firstLineChars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Observações Gerais:</w:t>
      </w:r>
    </w:p>
    <w:p w14:paraId="1B210B1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/>
        <w:spacing w:line="216" w:lineRule="auto"/>
        <w:ind w:left="16" w:leftChars="0" w:right="-136" w:rightChars="0" w:hanging="16" w:firstLineChars="0"/>
        <w:rPr>
          <w:rFonts w:ascii="Arial" w:hAnsi="Arial" w:cs="Arial"/>
          <w:b/>
          <w:sz w:val="20"/>
          <w:szCs w:val="20"/>
        </w:rPr>
      </w:pPr>
    </w:p>
    <w:p w14:paraId="5E04C050">
      <w:pPr>
        <w:widowControl w:val="0"/>
        <w:numPr>
          <w:ilvl w:val="0"/>
          <w:numId w:val="1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/>
        <w:tabs>
          <w:tab w:val="left" w:pos="293"/>
          <w:tab w:val="left" w:pos="7440"/>
        </w:tabs>
        <w:spacing w:line="218" w:lineRule="auto"/>
        <w:ind w:left="16" w:leftChars="0" w:right="-136" w:rightChars="0" w:hanging="16" w:firstLineChars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 caso de preenchimento incompleto do formulário, o mesmo será devolvido pelo Departamento de Compras ou de Licitação para as complementações necessárias.</w:t>
      </w:r>
    </w:p>
    <w:p w14:paraId="1BD06F5A">
      <w:pPr>
        <w:widowControl w:val="0"/>
        <w:numPr>
          <w:ilvl w:val="0"/>
          <w:numId w:val="1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/>
        <w:tabs>
          <w:tab w:val="left" w:pos="312"/>
        </w:tabs>
        <w:spacing w:before="1"/>
        <w:ind w:left="16" w:leftChars="0" w:right="-136" w:rightChars="0" w:hanging="16" w:firstLineChars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especificação do objeto é de responsabilidade do requisitante, devendo ser clara, objetiva e completa. Portanto, deve ser a mais completa possível (o que não significa direcionamento ilegal), contendo todos os detalhes do bem/serviço a ser adquirido ou contratado, sob o risco de ser devolvida para adequação.</w:t>
      </w:r>
    </w:p>
    <w:p w14:paraId="0F8647BB">
      <w:pPr>
        <w:widowControl w:val="0"/>
        <w:numPr>
          <w:ilvl w:val="0"/>
          <w:numId w:val="1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/>
        <w:tabs>
          <w:tab w:val="left" w:pos="293"/>
        </w:tabs>
        <w:spacing w:line="218" w:lineRule="auto"/>
        <w:ind w:left="16" w:leftChars="0" w:right="-136" w:rightChars="0" w:hanging="16" w:firstLineChars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 caso de não aprovação do início da demanda, encaminhar o formulário para arquivo na Unidade demandante.</w:t>
      </w:r>
    </w:p>
    <w:p w14:paraId="44FA0F8D">
      <w:pPr>
        <w:widowControl w:val="0"/>
        <w:numPr>
          <w:ilvl w:val="0"/>
          <w:numId w:val="1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/>
        <w:tabs>
          <w:tab w:val="left" w:pos="293"/>
        </w:tabs>
        <w:spacing w:before="1"/>
        <w:ind w:left="16" w:leftChars="0" w:right="-136" w:rightChars="0" w:hanging="16" w:firstLineChars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Todos os documentos anexos à SD deverão ser encaminhados no fluxo subsequente.</w:t>
      </w:r>
    </w:p>
    <w:p w14:paraId="06F2BF94">
      <w:pPr>
        <w:widowControl w:val="0"/>
        <w:numPr>
          <w:ilvl w:val="0"/>
          <w:numId w:val="1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/>
        <w:tabs>
          <w:tab w:val="left" w:pos="293"/>
        </w:tabs>
        <w:spacing w:before="1"/>
        <w:ind w:left="16" w:leftChars="0" w:right="-136" w:rightChars="0" w:hanging="16" w:firstLineChars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 se tratando de Ata de Registro de Preços, ao receber a SD da unidade requisitante, a Diretoria Executiva deverá consultar as demais unidades administrativas acerca da necessidade de inserir outros quantitativos na SD originária, anexando as respectivas respostas ao novo documento que formalizará, consolidando as solicitações e facilitando a análise das demandas e dos novos consumos nos ETPs.</w:t>
      </w:r>
    </w:p>
    <w:p w14:paraId="13D75301">
      <w:pPr>
        <w:widowControl w:val="0"/>
        <w:numPr>
          <w:ilvl w:val="0"/>
          <w:numId w:val="1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/>
        <w:tabs>
          <w:tab w:val="left" w:pos="293"/>
        </w:tabs>
        <w:spacing w:before="1"/>
        <w:ind w:left="16" w:leftChars="0" w:right="-136" w:rightChars="0" w:hanging="16" w:firstLineChars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Não havendo novos interesses de consumo, a Diretoria Executiva devolverá a SD com esta informação para a unidade demandante, que assumirá a condição de gerenciadora da Ata de Registro de Preços e formalizará os ETPs.</w:t>
      </w:r>
    </w:p>
    <w:p w14:paraId="61A6FDAC">
      <w:pPr>
        <w:widowControl w:val="0"/>
        <w:numPr>
          <w:ilvl w:val="0"/>
          <w:numId w:val="1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/>
        <w:tabs>
          <w:tab w:val="left" w:pos="293"/>
        </w:tabs>
        <w:spacing w:before="1"/>
        <w:ind w:left="16" w:leftChars="0" w:right="-136" w:rightChars="0" w:hanging="16" w:firstLineChars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Havendo legislação especial sobre o objeto a ser contratado, esta deverá ser anexada à SD.</w:t>
      </w:r>
    </w:p>
    <w:p w14:paraId="423E5724">
      <w:pPr>
        <w:widowControl w:val="0"/>
        <w:numPr>
          <w:ilvl w:val="0"/>
          <w:numId w:val="1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/>
        <w:tabs>
          <w:tab w:val="left" w:pos="293"/>
        </w:tabs>
        <w:spacing w:before="1"/>
        <w:ind w:left="16" w:leftChars="0" w:right="-136" w:rightChars="0" w:hanging="16" w:firstLineChars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o Recurso financiador da contratação for originário da União ou do Estado do Paraná, deve ser anexado instrumento de repasse, se for o caso.</w:t>
      </w:r>
    </w:p>
    <w:p w14:paraId="1AFD6F62">
      <w:pPr>
        <w:widowControl w:val="0"/>
        <w:numPr>
          <w:ilvl w:val="0"/>
          <w:numId w:val="1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/>
        <w:tabs>
          <w:tab w:val="left" w:pos="293"/>
        </w:tabs>
        <w:spacing w:before="1"/>
        <w:ind w:left="16" w:leftChars="0" w:right="-136" w:rightChars="0" w:hanging="16" w:firstLineChars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Enquanto o presente modelo for aplicado, todas as Secretarias que tiverem sugestões a fazer deverão encaminhar estas, por documento escrito.</w:t>
      </w:r>
    </w:p>
    <w:p w14:paraId="6AACE8D9">
      <w:pPr>
        <w:widowControl w:val="0"/>
        <w:numPr>
          <w:ilvl w:val="0"/>
          <w:numId w:val="1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/>
        <w:tabs>
          <w:tab w:val="left" w:pos="293"/>
        </w:tabs>
        <w:spacing w:before="1"/>
        <w:ind w:left="16" w:leftChars="0" w:right="-136" w:rightChars="0" w:hanging="16" w:firstLineChars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Todas as SD devem estar acompanhadas por Termo de Referência e em caso de Obras poderão ser substituídos por Projeto Básico que instruirá o pedido.</w:t>
      </w:r>
    </w:p>
    <w:p w14:paraId="61B4673B"/>
    <w:sectPr>
      <w:headerReference r:id="rId5" w:type="default"/>
      <w:pgSz w:w="11906" w:h="16838"/>
      <w:pgMar w:top="1417" w:right="1701" w:bottom="1417" w:left="1701" w:header="1417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ookman Old Style">
    <w:altName w:val="Segoe Print"/>
    <w:panose1 w:val="02050604050505020204"/>
    <w:charset w:val="00"/>
    <w:family w:val="roman"/>
    <w:pitch w:val="default"/>
    <w:sig w:usb0="00000000" w:usb1="00000000" w:usb2="00000000" w:usb3="00000000" w:csb0="0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5AD77B">
    <w:pPr>
      <w:pStyle w:val="4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1457325</wp:posOffset>
          </wp:positionH>
          <wp:positionV relativeFrom="page">
            <wp:posOffset>95250</wp:posOffset>
          </wp:positionV>
          <wp:extent cx="4759325" cy="899795"/>
          <wp:effectExtent l="0" t="0" r="317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5932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D222F7"/>
    <w:multiLevelType w:val="multilevel"/>
    <w:tmpl w:val="7AD222F7"/>
    <w:lvl w:ilvl="0" w:tentative="0">
      <w:start w:val="1"/>
      <w:numFmt w:val="decimal"/>
      <w:lvlText w:val="%1."/>
      <w:lvlJc w:val="left"/>
      <w:pPr>
        <w:ind w:left="292" w:hanging="178"/>
      </w:pPr>
      <w:rPr>
        <w:rFonts w:hint="default" w:ascii="Arial" w:hAnsi="Arial" w:eastAsia="Calibri" w:cs="Arial"/>
        <w:b/>
        <w:sz w:val="24"/>
        <w:szCs w:val="18"/>
      </w:rPr>
    </w:lvl>
    <w:lvl w:ilvl="1" w:tentative="0">
      <w:start w:val="1"/>
      <w:numFmt w:val="decimal"/>
      <w:lvlText w:val="%2."/>
      <w:lvlJc w:val="left"/>
      <w:rPr>
        <w:b/>
        <w:highlight w:val="lightGray"/>
      </w:rPr>
    </w:lvl>
    <w:lvl w:ilvl="2" w:tentative="0">
      <w:start w:val="1"/>
      <w:numFmt w:val="decimal"/>
      <w:lvlText w:val="%2.%3."/>
      <w:lvlJc w:val="left"/>
      <w:pPr>
        <w:ind w:left="1108" w:hanging="567"/>
      </w:pPr>
      <w:rPr>
        <w:rFonts w:hint="default" w:ascii="Bookman Old Style" w:hAnsi="Bookman Old Style" w:eastAsia="Calibri" w:cs="Calibri"/>
        <w:sz w:val="22"/>
        <w:szCs w:val="22"/>
      </w:rPr>
    </w:lvl>
    <w:lvl w:ilvl="3" w:tentative="0">
      <w:start w:val="1"/>
      <w:numFmt w:val="decimal"/>
      <w:lvlText w:val="%2.%3.%4."/>
      <w:lvlJc w:val="left"/>
      <w:pPr>
        <w:ind w:left="1844" w:hanging="737"/>
      </w:pPr>
      <w:rPr>
        <w:rFonts w:ascii="Calibri" w:hAnsi="Calibri" w:eastAsia="Calibri" w:cs="Calibri"/>
        <w:sz w:val="22"/>
        <w:szCs w:val="22"/>
      </w:rPr>
    </w:lvl>
    <w:lvl w:ilvl="4" w:tentative="0">
      <w:start w:val="0"/>
      <w:numFmt w:val="bullet"/>
      <w:lvlText w:val="•"/>
      <w:lvlJc w:val="left"/>
      <w:pPr>
        <w:ind w:left="3940" w:hanging="737"/>
      </w:pPr>
    </w:lvl>
    <w:lvl w:ilvl="5" w:tentative="0">
      <w:start w:val="0"/>
      <w:numFmt w:val="bullet"/>
      <w:lvlText w:val="•"/>
      <w:lvlJc w:val="left"/>
      <w:pPr>
        <w:ind w:left="4990" w:hanging="737"/>
      </w:pPr>
    </w:lvl>
    <w:lvl w:ilvl="6" w:tentative="0">
      <w:start w:val="0"/>
      <w:numFmt w:val="bullet"/>
      <w:lvlText w:val="•"/>
      <w:lvlJc w:val="left"/>
      <w:pPr>
        <w:ind w:left="6040" w:hanging="737"/>
      </w:pPr>
    </w:lvl>
    <w:lvl w:ilvl="7" w:tentative="0">
      <w:start w:val="0"/>
      <w:numFmt w:val="bullet"/>
      <w:lvlText w:val="•"/>
      <w:lvlJc w:val="left"/>
      <w:pPr>
        <w:ind w:left="7090" w:hanging="737"/>
      </w:pPr>
    </w:lvl>
    <w:lvl w:ilvl="8" w:tentative="0">
      <w:start w:val="0"/>
      <w:numFmt w:val="bullet"/>
      <w:lvlText w:val="•"/>
      <w:lvlJc w:val="left"/>
      <w:pPr>
        <w:ind w:left="8140" w:hanging="73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3E8"/>
    <w:rsid w:val="001C73E8"/>
    <w:rsid w:val="00416A61"/>
    <w:rsid w:val="004D1C31"/>
    <w:rsid w:val="007D684F"/>
    <w:rsid w:val="00D66544"/>
    <w:rsid w:val="019A362C"/>
    <w:rsid w:val="060E1FD1"/>
    <w:rsid w:val="08926A4A"/>
    <w:rsid w:val="0AD772D6"/>
    <w:rsid w:val="0CA81750"/>
    <w:rsid w:val="0D146881"/>
    <w:rsid w:val="14725956"/>
    <w:rsid w:val="23241D8E"/>
    <w:rsid w:val="30785D2D"/>
    <w:rsid w:val="3DFF7046"/>
    <w:rsid w:val="400D0D15"/>
    <w:rsid w:val="43D10506"/>
    <w:rsid w:val="475C5132"/>
    <w:rsid w:val="4EE11AF9"/>
    <w:rsid w:val="50E62FE9"/>
    <w:rsid w:val="57053850"/>
    <w:rsid w:val="634013EB"/>
    <w:rsid w:val="657D4A6B"/>
    <w:rsid w:val="73600381"/>
    <w:rsid w:val="74EA20BB"/>
    <w:rsid w:val="77FB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9"/>
    <w:unhideWhenUsed/>
    <w:qFormat/>
    <w:uiPriority w:val="99"/>
    <w:pPr>
      <w:tabs>
        <w:tab w:val="center" w:pos="4252"/>
        <w:tab w:val="right" w:pos="8504"/>
      </w:tabs>
    </w:p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252"/>
        <w:tab w:val="right" w:pos="8504"/>
      </w:tabs>
    </w:pPr>
  </w:style>
  <w:style w:type="paragraph" w:customStyle="1" w:styleId="6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Bookman Old Style" w:hAnsi="Bookman Old Style" w:eastAsia="Calibri" w:cs="Bookman Old Style"/>
      <w:color w:val="000000"/>
      <w:sz w:val="24"/>
      <w:szCs w:val="24"/>
      <w:lang w:val="pt-BR" w:eastAsia="en-US" w:bidi="ar-SA"/>
    </w:rPr>
  </w:style>
  <w:style w:type="paragraph" w:customStyle="1" w:styleId="7">
    <w:name w:val="Standard"/>
    <w:qFormat/>
    <w:uiPriority w:val="99"/>
    <w:pPr>
      <w:widowControl w:val="0"/>
      <w:suppressAutoHyphens/>
      <w:autoSpaceDN w:val="0"/>
      <w:spacing w:after="0" w:line="240" w:lineRule="auto"/>
    </w:pPr>
    <w:rPr>
      <w:rFonts w:ascii="Times New Roman" w:hAnsi="Times New Roman" w:eastAsia="SimSun" w:cs="Tahoma"/>
      <w:kern w:val="3"/>
      <w:sz w:val="24"/>
      <w:szCs w:val="24"/>
      <w:lang w:val="pt-BR" w:eastAsia="zh-CN" w:bidi="hi-IN"/>
    </w:rPr>
  </w:style>
  <w:style w:type="paragraph" w:customStyle="1" w:styleId="8">
    <w:name w:val="Table Contents"/>
    <w:basedOn w:val="7"/>
    <w:qFormat/>
    <w:uiPriority w:val="99"/>
    <w:pPr>
      <w:suppressLineNumbers/>
    </w:pPr>
  </w:style>
  <w:style w:type="character" w:customStyle="1" w:styleId="9">
    <w:name w:val="Cabeçalho Char"/>
    <w:basedOn w:val="2"/>
    <w:link w:val="4"/>
    <w:qFormat/>
    <w:uiPriority w:val="99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0">
    <w:name w:val="Rodapé Char"/>
    <w:basedOn w:val="2"/>
    <w:link w:val="5"/>
    <w:qFormat/>
    <w:uiPriority w:val="99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1">
    <w:name w:val="font21"/>
    <w:qFormat/>
    <w:uiPriority w:val="0"/>
    <w:rPr>
      <w:rFonts w:hint="default" w:ascii="Arial" w:hAnsi="Arial" w:cs="Arial"/>
      <w:color w:val="000000"/>
      <w:u w:val="none"/>
    </w:rPr>
  </w:style>
  <w:style w:type="character" w:customStyle="1" w:styleId="12">
    <w:name w:val="font11"/>
    <w:qFormat/>
    <w:uiPriority w:val="0"/>
    <w:rPr>
      <w:rFonts w:hint="default" w:ascii="Arial" w:hAnsi="Arial" w:cs="Arial"/>
      <w:b/>
      <w:bCs/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908</Words>
  <Characters>4907</Characters>
  <Lines>40</Lines>
  <Paragraphs>11</Paragraphs>
  <TotalTime>0</TotalTime>
  <ScaleCrop>false</ScaleCrop>
  <LinksUpToDate>false</LinksUpToDate>
  <CharactersWithSpaces>5804</CharactersWithSpaces>
  <Application>WPS Office_12.2.0.20323_F1E327BC-269C-435d-A152-05C5408002CA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2023-09-19T17:01:00Z</dcterms:created>
  <dc:creator>ACESSORIA JURIDICA</dc:creator>
  <cp:lastModifiedBy>CONSÓRCIO CODENOP</cp:lastModifiedBy>
  <cp:lastPrinted>2024-05-09T18:25:00Z</cp:lastPrinted>
  <dcterms:modified xsi:type="dcterms:W3CDTF">2025-03-11T14:22:17Z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1046-12.2.0.20323</vt:lpwstr>
  </property>
  <property fmtid="{D5CDD505-2E9C-101B-9397-08002B2CF9AE}" pid="3" name="ICV">
    <vt:lpwstr>283A2A7BD41D4C918F13306B26FDD323_13</vt:lpwstr>
  </property>
</Properties>
</file>