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76320">
      <w:pPr>
        <w:pStyle w:val="7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hint="default" w:ascii="Arial" w:hAnsi="Arial" w:eastAsia="Times New Roman" w:cs="Arial"/>
          <w:b/>
          <w:bCs/>
          <w:lang w:val="pt-BR"/>
        </w:rPr>
      </w:pPr>
      <w:r>
        <w:rPr>
          <w:rFonts w:ascii="Arial" w:hAnsi="Arial" w:eastAsia="Times New Roman" w:cs="Arial"/>
          <w:b/>
          <w:bCs/>
        </w:rPr>
        <w:t xml:space="preserve">SOLICITAÇÃO DE DEMANDA – SD Nº </w:t>
      </w:r>
      <w:r>
        <w:rPr>
          <w:rFonts w:hint="default" w:ascii="Arial" w:hAnsi="Arial" w:eastAsia="Times New Roman" w:cs="Arial"/>
          <w:b/>
          <w:bCs/>
          <w:lang w:val="pt-BR"/>
        </w:rPr>
        <w:t>02</w:t>
      </w:r>
      <w:bookmarkStart w:id="0" w:name="_GoBack"/>
      <w:bookmarkEnd w:id="0"/>
      <w:r>
        <w:rPr>
          <w:rFonts w:hint="default" w:ascii="Arial" w:hAnsi="Arial" w:eastAsia="Times New Roman" w:cs="Arial"/>
          <w:b/>
          <w:bCs/>
          <w:lang w:val="pt-BR"/>
        </w:rPr>
        <w:t>/2025</w:t>
      </w:r>
    </w:p>
    <w:p w14:paraId="2756333B">
      <w:pPr>
        <w:pStyle w:val="7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Arial" w:hAnsi="Arial" w:eastAsia="Times New Roman" w:cs="Arial"/>
          <w:b/>
          <w:bCs/>
        </w:rPr>
      </w:pPr>
    </w:p>
    <w:tbl>
      <w:tblPr>
        <w:tblStyle w:val="3"/>
        <w:tblW w:w="879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90"/>
      </w:tblGrid>
      <w:tr w14:paraId="0EE6A0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03556">
            <w:pPr>
              <w:pStyle w:val="8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INTRODUÇÃO</w:t>
            </w:r>
          </w:p>
        </w:tc>
      </w:tr>
      <w:tr w14:paraId="5D7F4E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38BB8">
            <w:pPr>
              <w:snapToGrid w:val="0"/>
              <w:spacing w:before="57" w:after="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 presente documento visa padronizar a demanda e consolidar informações e documentos necessários </w:t>
            </w:r>
            <w:r>
              <w:rPr>
                <w:rFonts w:hint="default" w:ascii="Arial" w:hAnsi="Arial" w:cs="Arial"/>
                <w:b/>
                <w:iCs/>
                <w:sz w:val="24"/>
                <w:szCs w:val="24"/>
                <w:lang w:val="pt-BR"/>
              </w:rPr>
              <w:t xml:space="preserve">AQUISIÇÃO DE MESA ACABADORA BOX PADRÃO 3,600MM COMPLETA, PARA O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CONSÓRCIO PUBLICO INTERMUNICOPAL DE DESENVOLVIMENTO DO TERRITORIO NORDESTE DO PARANÁ - CODENOP</w:t>
            </w:r>
          </w:p>
          <w:p w14:paraId="029A0DD4">
            <w:pPr>
              <w:snapToGrid w:val="0"/>
              <w:spacing w:before="57" w:after="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Em conformidade com a Lei de Licitações e Contratos, a fase de Planejamento da Contratação terá início com o recebimento do Documento de Oficialização da Demanda pela Área de Licitações. Este documento deverá ser elaborado pelo Departamento Demandante.</w:t>
            </w:r>
          </w:p>
        </w:tc>
      </w:tr>
    </w:tbl>
    <w:p w14:paraId="2BA4D289">
      <w:pPr>
        <w:rPr>
          <w:rFonts w:ascii="Arial" w:hAnsi="Arial" w:cs="Arial"/>
          <w:b/>
          <w:bCs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146"/>
      </w:tblGrid>
      <w:tr w14:paraId="2CF5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1EE728C9">
            <w:pPr>
              <w:pStyle w:val="6"/>
              <w:spacing w:before="120" w:after="12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 – IDENTIFICAÇÃO DA ÁREA REQUISITANTE</w:t>
            </w:r>
          </w:p>
        </w:tc>
      </w:tr>
      <w:tr w14:paraId="2878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975B5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Setor Requisitante: Consorcio Publico Intermunipal de Desenvolvimento do Territorio Nordeste do Paraná</w:t>
            </w:r>
          </w:p>
        </w:tc>
      </w:tr>
      <w:tr w14:paraId="598B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1F87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Nome do ordenador:  </w:t>
            </w:r>
            <w:r>
              <w:rPr>
                <w:rFonts w:ascii="Arial" w:hAnsi="Arial" w:cs="Arial"/>
              </w:rPr>
              <w:t>DIANARA CHRISTINA MARTINS PEREIRA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6A20">
            <w:pPr>
              <w:pStyle w:val="6"/>
              <w:spacing w:before="120" w:after="12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Cargo: Diretor</w:t>
            </w:r>
            <w:r>
              <w:rPr>
                <w:rFonts w:hint="default" w:ascii="Arial" w:hAnsi="Arial" w:cs="Arial"/>
                <w:color w:val="auto"/>
                <w:lang w:val="pt-BR"/>
              </w:rPr>
              <w:t>a</w:t>
            </w:r>
            <w:r>
              <w:rPr>
                <w:rFonts w:ascii="Arial" w:hAnsi="Arial" w:cs="Arial"/>
                <w:color w:val="auto"/>
              </w:rPr>
              <w:t xml:space="preserve"> Executiv</w:t>
            </w:r>
            <w:r>
              <w:rPr>
                <w:rFonts w:hint="default" w:ascii="Arial" w:hAnsi="Arial" w:cs="Arial"/>
                <w:color w:val="auto"/>
                <w:lang w:val="pt-BR"/>
              </w:rPr>
              <w:t>a</w:t>
            </w:r>
          </w:p>
        </w:tc>
      </w:tr>
      <w:tr w14:paraId="2996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66A70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 w:val="0"/>
                <w:iCs w:val="0"/>
                <w:color w:val="auto"/>
              </w:rPr>
              <w:t>E-mail institucional:</w:t>
            </w:r>
            <w:r>
              <w:rPr>
                <w:rFonts w:ascii="Arial" w:hAnsi="Arial" w:cs="Arial"/>
                <w:color w:val="auto"/>
              </w:rPr>
              <w:t xml:space="preserve"> consorciocodenop@gmail.com.br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A5D1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Fone: 43 3267 1074</w:t>
            </w:r>
          </w:p>
        </w:tc>
      </w:tr>
    </w:tbl>
    <w:p w14:paraId="33F9B7F6">
      <w:pPr>
        <w:rPr>
          <w:rFonts w:ascii="Arial" w:hAnsi="Arial" w:cs="Arial"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296"/>
        <w:gridCol w:w="4189"/>
      </w:tblGrid>
      <w:tr w14:paraId="42A9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14:paraId="060516B5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</w:t>
            </w:r>
            <w:r>
              <w:rPr>
                <w:rFonts w:ascii="Arial" w:hAnsi="Arial" w:cs="Arial"/>
                <w:b/>
                <w:color w:val="auto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INFORMAÇÕES GERAIS </w:t>
            </w:r>
          </w:p>
        </w:tc>
      </w:tr>
      <w:tr w14:paraId="386F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4BCB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Nº do processo administrativo anterio</w:t>
            </w:r>
            <w:r>
              <w:rPr>
                <w:rFonts w:hint="default" w:ascii="Arial" w:hAnsi="Arial" w:cs="Arial"/>
                <w:color w:val="auto"/>
                <w:lang w:val="pt-BR"/>
              </w:rPr>
              <w:t>r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0C38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8B57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1BD9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E295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Modalidade adotada na contratação anterior, se for o caso: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C835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23AD3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214A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BD95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Gestor/gerenciador do futuro contrato </w:t>
            </w:r>
            <w:r>
              <w:rPr>
                <w:rFonts w:ascii="Arial" w:hAnsi="Arial" w:cs="Arial"/>
                <w:b/>
                <w:color w:val="auto"/>
              </w:rPr>
              <w:t>ou</w:t>
            </w:r>
            <w:r>
              <w:rPr>
                <w:rFonts w:ascii="Arial" w:hAnsi="Arial" w:cs="Arial"/>
                <w:color w:val="auto"/>
              </w:rPr>
              <w:t xml:space="preserve"> ata de registro de preços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B9FD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8548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Dianara </w:t>
            </w:r>
            <w:r>
              <w:rPr>
                <w:rFonts w:hint="default" w:ascii="Arial" w:hAnsi="Arial" w:cs="Arial"/>
                <w:lang w:val="pt-BR"/>
              </w:rPr>
              <w:t>C</w:t>
            </w:r>
            <w:r>
              <w:rPr>
                <w:rFonts w:ascii="Arial" w:hAnsi="Arial" w:cs="Arial"/>
              </w:rPr>
              <w:t xml:space="preserve">hristina </w:t>
            </w:r>
            <w:r>
              <w:rPr>
                <w:rFonts w:hint="default" w:ascii="Arial" w:hAnsi="Arial" w:cs="Arial"/>
                <w:lang w:val="pt-BR"/>
              </w:rPr>
              <w:t>M</w:t>
            </w:r>
            <w:r>
              <w:rPr>
                <w:rFonts w:ascii="Arial" w:hAnsi="Arial" w:cs="Arial"/>
              </w:rPr>
              <w:t xml:space="preserve">artins </w:t>
            </w:r>
            <w:r>
              <w:rPr>
                <w:rFonts w:hint="default" w:ascii="Arial" w:hAnsi="Arial" w:cs="Arial"/>
                <w:lang w:val="pt-BR"/>
              </w:rPr>
              <w:t>P</w:t>
            </w:r>
            <w:r>
              <w:rPr>
                <w:rFonts w:ascii="Arial" w:hAnsi="Arial" w:cs="Arial"/>
              </w:rPr>
              <w:t>ereira</w:t>
            </w:r>
          </w:p>
        </w:tc>
      </w:tr>
      <w:tr w14:paraId="1447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42B1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Servidor responsável indicado para auxiliar no planejamento da contratação, se for o caso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437D8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D6420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/>
                <w:lang w:val="pt-BR"/>
              </w:rPr>
              <w:t>Joel da Silva Vieira</w:t>
            </w:r>
          </w:p>
        </w:tc>
      </w:tr>
      <w:tr w14:paraId="0B72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72C8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Fiscal (s) do contrato indicado (s) pelo ordenador de despesas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62FE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98D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Comissão de Fiscalização e/ou Servidor designado posteriormente a este ato</w:t>
            </w:r>
          </w:p>
        </w:tc>
      </w:tr>
      <w:tr w14:paraId="38EC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C71F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Gestor do contrato indicado pelo ordenador de despesas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E7EC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071E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hint="default" w:ascii="Arial" w:hAnsi="Arial" w:cs="Arial"/>
                <w:color w:val="auto"/>
                <w:lang w:val="pt-BR"/>
              </w:rPr>
              <w:t>Ana Paula Gomes Alexandre Sartori</w:t>
            </w:r>
          </w:p>
        </w:tc>
      </w:tr>
      <w:tr w14:paraId="047C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ADFE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Nº do Contrato ou Ata de Registro de Preços da contratação anterior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67E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CD427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23AA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FFC4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Encerramento da vigência do instrumento anterior, se for o caso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6BB9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040A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0D0B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8014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A licitação anterior foi executada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65ED3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0A09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1608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7B4D9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Pontos de melhoria sugeridos na licitação anterior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622A4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  <w:p w14:paraId="14412FC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519C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  <w:p w14:paraId="7E6B0AA6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</w:p>
        </w:tc>
      </w:tr>
      <w:tr w14:paraId="1AFC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CF59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Prazo sugerido para a Contratação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B1F6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D222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meses</w:t>
            </w:r>
          </w:p>
        </w:tc>
      </w:tr>
      <w:tr w14:paraId="5E03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412B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Prazo de entrega ou execução dos serviços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ACE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179B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dias</w:t>
            </w:r>
          </w:p>
        </w:tc>
      </w:tr>
      <w:tr w14:paraId="4AA2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F52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Fonte de Recurso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2575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0965">
            <w:pPr>
              <w:pStyle w:val="6"/>
              <w:spacing w:before="120" w:beforeLines="50" w:after="120" w:afterLines="50" w:line="256" w:lineRule="auto"/>
              <w:ind w:left="718" w:leftChars="299" w:firstLine="0" w:firstLineChars="0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hint="default" w:ascii="Arial" w:hAnsi="Arial" w:cs="Arial"/>
                <w:color w:val="auto"/>
                <w:lang w:val="pt-BR"/>
              </w:rPr>
              <w:t>Livre</w:t>
            </w:r>
          </w:p>
        </w:tc>
      </w:tr>
      <w:tr w14:paraId="6750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F19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Indicação da dotação orçamentária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0DBA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A8D5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000701.001.15.451.0005-200133.90.30.00.00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2023</w:t>
            </w:r>
          </w:p>
        </w:tc>
      </w:tr>
      <w:tr w14:paraId="3D0D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6CAD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Legislação Especial sobre o Objeto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DA7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8F72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Lei nº 14.300/2022.</w:t>
            </w:r>
          </w:p>
        </w:tc>
      </w:tr>
      <w:tr w14:paraId="5F2B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6970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Regime regente da contratação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0E99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210B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Lei 14.133/2021</w:t>
            </w:r>
          </w:p>
        </w:tc>
      </w:tr>
      <w:tr w14:paraId="1B7A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6AAA9">
            <w:pPr>
              <w:pStyle w:val="6"/>
              <w:spacing w:line="256" w:lineRule="auto"/>
              <w:jc w:val="both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 objeto solicitado tem relação com a frota de veículos do Consorcio? (Se sim informar o numero do patrimônio do Veículo)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9743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54A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   ) Sim  / Patrimônio_______________</w:t>
            </w:r>
          </w:p>
          <w:p w14:paraId="2739C670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  x ) Não</w:t>
            </w:r>
          </w:p>
        </w:tc>
      </w:tr>
    </w:tbl>
    <w:p w14:paraId="2200D735">
      <w:pPr>
        <w:rPr>
          <w:rFonts w:ascii="Arial" w:hAnsi="Arial" w:cs="Arial"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64F3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14:paraId="683894B5">
            <w:pPr>
              <w:pStyle w:val="6"/>
              <w:spacing w:before="60" w:after="60" w:line="256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3 </w:t>
            </w:r>
            <w:r>
              <w:rPr>
                <w:rFonts w:ascii="Arial" w:hAnsi="Arial" w:cs="Arial"/>
                <w:b/>
                <w:color w:val="auto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JUSTIFICATIVA/NECESSIDADE DA CONTRATAÇÃO </w:t>
            </w:r>
          </w:p>
        </w:tc>
      </w:tr>
      <w:tr w14:paraId="762E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B004">
            <w:pPr>
              <w:pStyle w:val="6"/>
              <w:spacing w:line="256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 xml:space="preserve">Justifica-se a necessidade em realizar processo licitatório para 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pt-BR"/>
              </w:rPr>
              <w:t>aquisição de mesa acabadora,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 xml:space="preserve"> para atender os 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pt-BR"/>
              </w:rPr>
              <w:t xml:space="preserve">municípios consóciados. O consorcio é formardo por 21 (vinte e um) municípios da região nordeste do estado do Paraná. O objetivo do consócio é o desenvolvimento dos pequenos município, que sozinhos se sentem são incapazes de desenvolverem melhorias para suas cidades. 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A aquisição de uma mesa acabadora box padrão 3,600mm pode ser justificada por diversos motivos que impactam positivamente a operação e a qualidade dos produtos oferecidos. A mesa acabadora com 3,600mm de comprimento é ideal para o manuseio e acabamento de produtos maiores, como painéis e móveis, garantindo que todos os itens sejam processados de forma eficiente e sem danos.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 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Com uma mesa de tamanho adequado, a equipe pode trabalhar de maneira mais ágil, reduzindo o tempo de manuseio e aumentando a produtividade. Isso se traduz em uma maior capacidade de produção e melhor atendimento às demandas dos 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municípios.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Equipamentos adequados minimizam o risco de erros e retrabalhos, o que pode levar a uma redução significativa de desperdícios de materiais e tempo, contribuindo para a eficiência econômica da operação.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 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A mesa acabadora proporciona um ambiente de trabalho mais organizado e seguro, permitindo que os colaboradores realizem suas atividades de forma mais confortável e produtiva.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 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A aquisição de uma mesa acabadora moderna representa um investimento em tecnologia que pode trazer retornos a longo prazo, tanto em termos de eficiência quanto de qualidade, posicionando a empresa de forma competitiva no mercado. 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quisição da mesa acabadora box padrão 3,600mm pode trazer benefícios significativos para a operação, melhorando a produtividade, a qualidade dos produtos e as condições de trabalho.</w:t>
            </w:r>
          </w:p>
          <w:p w14:paraId="7F4A1661">
            <w:pPr>
              <w:pStyle w:val="6"/>
              <w:spacing w:line="256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pt-BR"/>
              </w:rPr>
            </w:pPr>
          </w:p>
          <w:p w14:paraId="37FF56CE">
            <w:pPr>
              <w:pStyle w:val="6"/>
              <w:spacing w:line="256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pt-BR"/>
              </w:rPr>
            </w:pPr>
          </w:p>
          <w:p w14:paraId="0DF4B7F4">
            <w:pPr>
              <w:pStyle w:val="6"/>
              <w:spacing w:line="256" w:lineRule="auto"/>
              <w:jc w:val="both"/>
              <w:rPr>
                <w:rFonts w:hint="default" w:ascii="Arial" w:hAnsi="Arial" w:cs="Arial"/>
                <w:color w:val="auto"/>
                <w:lang w:val="pt-BR"/>
              </w:rPr>
            </w:pPr>
          </w:p>
        </w:tc>
      </w:tr>
    </w:tbl>
    <w:p w14:paraId="2825004F">
      <w:pPr>
        <w:rPr>
          <w:rFonts w:ascii="Arial" w:hAnsi="Arial" w:cs="Arial"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32F7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14:paraId="01D0E73B">
            <w:pPr>
              <w:pStyle w:val="6"/>
              <w:spacing w:before="60" w:after="6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4 </w:t>
            </w:r>
            <w:r>
              <w:rPr>
                <w:rFonts w:ascii="Arial" w:hAnsi="Arial" w:cs="Arial"/>
                <w:b/>
                <w:color w:val="auto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DAS ESPECIFICAÇÕES TÉCNICAS DO PRODUTO </w:t>
            </w:r>
          </w:p>
        </w:tc>
      </w:tr>
      <w:tr w14:paraId="6606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8802" w:type="dxa"/>
              <w:tblInd w:w="-1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9"/>
              <w:gridCol w:w="7753"/>
            </w:tblGrid>
            <w:tr w14:paraId="01D756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377F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Arial" w:hAnsi="Arial" w:eastAsia="SimSun" w:cs="Arial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qtd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70928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eastAsia="SimSun" w:cs="Arial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especificaçã</w:t>
                  </w:r>
                  <w:r>
                    <w:rPr>
                      <w:rFonts w:hint="default" w:ascii="Arial" w:hAnsi="Arial" w:eastAsia="SimSun" w:cs="Arial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pt-BR" w:eastAsia="zh-CN" w:bidi="ar"/>
                    </w:rPr>
                    <w:t>o</w:t>
                  </w:r>
                </w:p>
              </w:tc>
            </w:tr>
            <w:tr w14:paraId="787837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2CED1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pt-BR"/>
                    </w:rPr>
                    <w:t>01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20F95A5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eastAsia="Times New Roman" w:cs="Arial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pt-BR" w:bidi="ar-SA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pt-BR" w:bidi="ar-SA"/>
                    </w:rPr>
                    <w:t>Mesa acabadora box padrão 3,600mm - mesa completa</w:t>
                  </w:r>
                </w:p>
              </w:tc>
            </w:tr>
            <w:tr w14:paraId="2BA4BD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AF6AA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pt-BR"/>
                    </w:rPr>
                  </w:pP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75372586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eastAsia="Times New Roman" w:cs="Arial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pt-BR" w:eastAsia="pt-BR" w:bidi="ar-SA"/>
                    </w:rPr>
                  </w:pPr>
                </w:p>
              </w:tc>
            </w:tr>
            <w:tr w14:paraId="3B3DEA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5613C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pt-BR"/>
                    </w:rPr>
                  </w:pP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bottom"/>
                </w:tcPr>
                <w:p w14:paraId="7EE60183">
                  <w:pPr>
                    <w:rPr>
                      <w:rFonts w:hint="default" w:ascii="Arial" w:hAnsi="Arial" w:eastAsia="Times New Roman" w:cs="Arial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pt-BR" w:eastAsia="pt-BR" w:bidi="ar-SA"/>
                    </w:rPr>
                  </w:pPr>
                </w:p>
              </w:tc>
            </w:tr>
            <w:tr w14:paraId="09B07D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60EA8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u w:val="none"/>
                    </w:rPr>
                  </w:pP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bottom"/>
                </w:tcPr>
                <w:p w14:paraId="40CAA0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u w:val="none"/>
                    </w:rPr>
                  </w:pPr>
                </w:p>
              </w:tc>
            </w:tr>
            <w:tr w14:paraId="3EBE5F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586212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u w:val="none"/>
                    </w:rPr>
                  </w:pP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bottom"/>
                </w:tcPr>
                <w:p w14:paraId="43C2D7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u w:val="none"/>
                    </w:rPr>
                  </w:pPr>
                </w:p>
              </w:tc>
            </w:tr>
            <w:tr w14:paraId="34604A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01409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u w:val="none"/>
                    </w:rPr>
                  </w:pP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48E431F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u w:val="none"/>
                    </w:rPr>
                  </w:pPr>
                </w:p>
              </w:tc>
            </w:tr>
            <w:tr w14:paraId="5D104A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7B1A24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u w:val="none"/>
                    </w:rPr>
                  </w:pP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0CB568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u w:val="none"/>
                    </w:rPr>
                  </w:pPr>
                </w:p>
              </w:tc>
            </w:tr>
            <w:tr w14:paraId="46DA17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bottom"/>
                </w:tcPr>
                <w:p w14:paraId="43CC9F8E">
                  <w:pPr>
                    <w:rPr>
                      <w:rFonts w:hint="eastAsia" w:ascii="Calibri" w:hAnsi="Calibri" w:cs="Calibri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bottom"/>
                </w:tcPr>
                <w:p w14:paraId="7BC9D97E">
                  <w:pPr>
                    <w:rPr>
                      <w:rFonts w:hint="default" w:ascii="Calibri" w:hAnsi="Calibri" w:cs="Calibri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03F45E62">
            <w:pPr>
              <w:pStyle w:val="6"/>
              <w:spacing w:line="256" w:lineRule="auto"/>
              <w:rPr>
                <w:rFonts w:ascii="Arial" w:hAnsi="Arial" w:cs="Arial"/>
                <w:color w:val="auto"/>
              </w:rPr>
            </w:pPr>
          </w:p>
          <w:p w14:paraId="3B477997">
            <w:pPr>
              <w:pStyle w:val="6"/>
              <w:spacing w:line="256" w:lineRule="auto"/>
              <w:jc w:val="center"/>
              <w:rPr>
                <w:rFonts w:ascii="Arial" w:hAnsi="Arial" w:cs="Arial"/>
                <w:iCs/>
                <w:color w:val="auto"/>
              </w:rPr>
            </w:pPr>
            <w:r>
              <w:rPr>
                <w:rFonts w:hint="default" w:ascii="Arial" w:hAnsi="Arial" w:cs="Arial"/>
                <w:iCs/>
                <w:color w:val="auto"/>
                <w:lang w:val="pt-BR"/>
              </w:rPr>
              <w:t>São Jerônimo da Serra-Pr, 25 de fevereiro de 2025</w:t>
            </w:r>
            <w:r>
              <w:rPr>
                <w:rFonts w:ascii="Arial" w:hAnsi="Arial" w:cs="Arial"/>
                <w:iCs/>
                <w:color w:val="auto"/>
              </w:rPr>
              <w:t>.</w:t>
            </w:r>
          </w:p>
          <w:p w14:paraId="6A7B4719">
            <w:pPr>
              <w:pStyle w:val="6"/>
              <w:spacing w:line="256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2C796FE7">
            <w:pPr>
              <w:pStyle w:val="6"/>
              <w:spacing w:line="256" w:lineRule="auto"/>
              <w:jc w:val="center"/>
              <w:rPr>
                <w:rFonts w:hint="default" w:ascii="Arial" w:hAnsi="Arial" w:cs="Arial"/>
                <w:b/>
                <w:i/>
                <w:iCs/>
                <w:color w:val="auto"/>
                <w:lang w:val="pt-BR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</w:rPr>
              <w:t>__________________</w:t>
            </w:r>
            <w:r>
              <w:rPr>
                <w:rFonts w:hint="default" w:ascii="Arial" w:hAnsi="Arial" w:cs="Arial"/>
                <w:b/>
                <w:i/>
                <w:iCs/>
                <w:color w:val="auto"/>
                <w:lang w:val="pt-BR"/>
              </w:rPr>
              <w:t>____________________</w:t>
            </w:r>
          </w:p>
          <w:p w14:paraId="12DCBD57">
            <w:pPr>
              <w:pStyle w:val="6"/>
              <w:spacing w:line="256" w:lineRule="auto"/>
              <w:jc w:val="center"/>
              <w:rPr>
                <w:rFonts w:hint="default" w:ascii="Arial" w:hAnsi="Arial" w:cs="Arial"/>
                <w:b/>
                <w:sz w:val="22"/>
                <w:u w:val="none"/>
              </w:rPr>
            </w:pPr>
            <w:r>
              <w:rPr>
                <w:rFonts w:hint="default" w:ascii="Arial" w:hAnsi="Arial" w:cs="Arial"/>
                <w:b/>
                <w:sz w:val="22"/>
                <w:u w:val="none"/>
              </w:rPr>
              <w:t>DIANARA CHRISTINA MARTINS</w:t>
            </w:r>
          </w:p>
          <w:p w14:paraId="154204D1">
            <w:pPr>
              <w:pStyle w:val="6"/>
              <w:spacing w:line="256" w:lineRule="auto"/>
              <w:jc w:val="center"/>
              <w:rPr>
                <w:rFonts w:hint="default" w:ascii="Arial" w:hAnsi="Arial" w:cs="Arial"/>
                <w:b/>
                <w:sz w:val="22"/>
                <w:u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u w:val="none"/>
                <w:lang w:val="pt-BR"/>
              </w:rPr>
              <w:t>Diretora Executiva</w:t>
            </w:r>
          </w:p>
          <w:p w14:paraId="297BEFDC">
            <w:pPr>
              <w:pStyle w:val="6"/>
              <w:spacing w:line="256" w:lineRule="auto"/>
              <w:jc w:val="center"/>
              <w:rPr>
                <w:rFonts w:ascii="Arial" w:hAnsi="Arial" w:cs="Arial"/>
                <w:b/>
                <w:iCs/>
                <w:color w:val="auto"/>
              </w:rPr>
            </w:pPr>
          </w:p>
          <w:p w14:paraId="50E59571">
            <w:pPr>
              <w:pStyle w:val="6"/>
              <w:spacing w:line="256" w:lineRule="auto"/>
              <w:jc w:val="center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___________________________________________</w:t>
            </w:r>
          </w:p>
          <w:p w14:paraId="2EF57A79">
            <w:pPr>
              <w:jc w:val="center"/>
              <w:rPr>
                <w:rFonts w:ascii="Arial" w:hAnsi="Arial" w:cs="Arial"/>
                <w:b/>
              </w:rPr>
            </w:pPr>
          </w:p>
          <w:p w14:paraId="3D149064">
            <w:pPr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VENICIUS DJALMA ROSA</w:t>
            </w:r>
          </w:p>
          <w:p w14:paraId="79B5792D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</w:rPr>
              <w:t>Presidente do Consórcio</w:t>
            </w:r>
          </w:p>
        </w:tc>
      </w:tr>
    </w:tbl>
    <w:p w14:paraId="68467F6F">
      <w:pPr>
        <w:spacing w:line="216" w:lineRule="auto"/>
        <w:ind w:right="1168"/>
        <w:rPr>
          <w:rFonts w:ascii="Arial" w:hAnsi="Arial" w:cs="Arial"/>
          <w:b/>
          <w:u w:val="single"/>
        </w:rPr>
      </w:pPr>
    </w:p>
    <w:p w14:paraId="5A8F17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8640"/>
        </w:tabs>
        <w:spacing w:line="216" w:lineRule="auto"/>
        <w:ind w:left="16" w:leftChars="0" w:right="-136" w:rightChars="0" w:hanging="16" w:firstLineChars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Observações Gerais:</w:t>
      </w:r>
    </w:p>
    <w:p w14:paraId="1B210B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16" w:lineRule="auto"/>
        <w:ind w:left="16" w:leftChars="0" w:right="-136" w:rightChars="0" w:hanging="16" w:firstLineChars="0"/>
        <w:rPr>
          <w:rFonts w:ascii="Arial" w:hAnsi="Arial" w:cs="Arial"/>
          <w:b/>
          <w:sz w:val="20"/>
          <w:szCs w:val="20"/>
        </w:rPr>
      </w:pPr>
    </w:p>
    <w:p w14:paraId="5E04C050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  <w:tab w:val="left" w:pos="7440"/>
        </w:tabs>
        <w:spacing w:line="218" w:lineRule="auto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caso de preenchimento incompleto do formulário, o mesmo será devolvido pelo Departamento de Compras ou de Licitação para as complementações necessárias.</w:t>
      </w:r>
    </w:p>
    <w:p w14:paraId="1BD06F5A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312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especificação do objeto é de responsabilidade do requisitante, devendo ser clara, objetiva e completa. Portanto, deve ser a mais completa possível (o que não significa direcionamento ilegal), contendo todos os detalhes do bem/serviço a ser adquirido ou contratado, sob o risco de ser devolvida para adequação.</w:t>
      </w:r>
    </w:p>
    <w:p w14:paraId="0F8647BB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line="218" w:lineRule="auto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caso de não aprovação do início da demanda, encaminhar o formulário para arquivo na Unidade demandante.</w:t>
      </w:r>
    </w:p>
    <w:p w14:paraId="44FA0F8D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Todos os documentos anexos à SD deverão ser encaminhados no fluxo subsequente.</w:t>
      </w:r>
    </w:p>
    <w:p w14:paraId="06F2BF94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se tratando de Ata de Registro de Preços, ao receber a SD da unidade requisitante, a Diretoria Executiva deverá consultar as demais unidades administrativas acerca da necessidade de inserir outros quantitativos na SD originária, anexando as respectivas respostas ao novo documento que formalizará, consolidando as solicitações e facilitando a análise das demandas e dos novos consumos nos ETPs.</w:t>
      </w:r>
    </w:p>
    <w:p w14:paraId="13D75301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havendo novos interesses de consumo, a Diretoria Executiva devolverá a SD com esta informação para a unidade demandante, que assumirá a condição de gerenciadora da Ata de Registro de Preços e formalizará os ETPs.</w:t>
      </w:r>
    </w:p>
    <w:p w14:paraId="61A6FDAC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Havendo legislação especial sobre o objeto a ser contratado, esta deverá ser anexada à SD.</w:t>
      </w:r>
    </w:p>
    <w:p w14:paraId="423E5724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o Recurso financiador da contratação for originário da União ou do Estado do Paraná, deve ser anexado instrumento de repasse, se for o caso.</w:t>
      </w:r>
    </w:p>
    <w:p w14:paraId="1AFD6F62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Enquanto o presente modelo for aplicado, todas as Secretarias que tiverem sugestões a fazer deverão encaminhar estas, por documento escrito.</w:t>
      </w:r>
    </w:p>
    <w:p w14:paraId="6AACE8D9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Todas as SD devem estar acompanhadas por Termo de Referência e em caso de Obras poderão ser substituídos por Projeto Básico que instruirá o pedido.</w:t>
      </w:r>
    </w:p>
    <w:p w14:paraId="17AD9817"/>
    <w:sectPr>
      <w:headerReference r:id="rId5" w:type="default"/>
      <w:pgSz w:w="11906" w:h="16838"/>
      <w:pgMar w:top="1417" w:right="1701" w:bottom="1417" w:left="1701" w:header="1417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D77B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1457325</wp:posOffset>
          </wp:positionH>
          <wp:positionV relativeFrom="page">
            <wp:posOffset>95250</wp:posOffset>
          </wp:positionV>
          <wp:extent cx="4759325" cy="899795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5932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222F7"/>
    <w:multiLevelType w:val="multilevel"/>
    <w:tmpl w:val="7AD222F7"/>
    <w:lvl w:ilvl="0" w:tentative="0">
      <w:start w:val="1"/>
      <w:numFmt w:val="decimal"/>
      <w:lvlText w:val="%1."/>
      <w:lvlJc w:val="left"/>
      <w:pPr>
        <w:ind w:left="292" w:hanging="178"/>
      </w:pPr>
      <w:rPr>
        <w:rFonts w:hint="default" w:ascii="Arial" w:hAnsi="Arial" w:eastAsia="Calibri" w:cs="Arial"/>
        <w:b/>
        <w:sz w:val="24"/>
        <w:szCs w:val="18"/>
      </w:rPr>
    </w:lvl>
    <w:lvl w:ilvl="1" w:tentative="0">
      <w:start w:val="1"/>
      <w:numFmt w:val="decimal"/>
      <w:lvlText w:val="%2."/>
      <w:lvlJc w:val="left"/>
      <w:rPr>
        <w:b/>
        <w:highlight w:val="lightGray"/>
      </w:rPr>
    </w:lvl>
    <w:lvl w:ilvl="2" w:tentative="0">
      <w:start w:val="1"/>
      <w:numFmt w:val="decimal"/>
      <w:lvlText w:val="%2.%3."/>
      <w:lvlJc w:val="left"/>
      <w:pPr>
        <w:ind w:left="1108" w:hanging="567"/>
      </w:pPr>
      <w:rPr>
        <w:rFonts w:hint="default" w:ascii="Bookman Old Style" w:hAnsi="Bookman Old Style" w:eastAsia="Calibri" w:cs="Calibri"/>
        <w:sz w:val="22"/>
        <w:szCs w:val="22"/>
      </w:rPr>
    </w:lvl>
    <w:lvl w:ilvl="3" w:tentative="0">
      <w:start w:val="1"/>
      <w:numFmt w:val="decimal"/>
      <w:lvlText w:val="%2.%3.%4."/>
      <w:lvlJc w:val="left"/>
      <w:pPr>
        <w:ind w:left="1844" w:hanging="737"/>
      </w:pPr>
      <w:rPr>
        <w:rFonts w:ascii="Calibri" w:hAnsi="Calibri" w:eastAsia="Calibri" w:cs="Calibri"/>
        <w:sz w:val="22"/>
        <w:szCs w:val="22"/>
      </w:rPr>
    </w:lvl>
    <w:lvl w:ilvl="4" w:tentative="0">
      <w:start w:val="0"/>
      <w:numFmt w:val="bullet"/>
      <w:lvlText w:val="•"/>
      <w:lvlJc w:val="left"/>
      <w:pPr>
        <w:ind w:left="3940" w:hanging="737"/>
      </w:pPr>
    </w:lvl>
    <w:lvl w:ilvl="5" w:tentative="0">
      <w:start w:val="0"/>
      <w:numFmt w:val="bullet"/>
      <w:lvlText w:val="•"/>
      <w:lvlJc w:val="left"/>
      <w:pPr>
        <w:ind w:left="4990" w:hanging="737"/>
      </w:pPr>
    </w:lvl>
    <w:lvl w:ilvl="6" w:tentative="0">
      <w:start w:val="0"/>
      <w:numFmt w:val="bullet"/>
      <w:lvlText w:val="•"/>
      <w:lvlJc w:val="left"/>
      <w:pPr>
        <w:ind w:left="6040" w:hanging="737"/>
      </w:pPr>
    </w:lvl>
    <w:lvl w:ilvl="7" w:tentative="0">
      <w:start w:val="0"/>
      <w:numFmt w:val="bullet"/>
      <w:lvlText w:val="•"/>
      <w:lvlJc w:val="left"/>
      <w:pPr>
        <w:ind w:left="7090" w:hanging="737"/>
      </w:pPr>
    </w:lvl>
    <w:lvl w:ilvl="8" w:tentative="0">
      <w:start w:val="0"/>
      <w:numFmt w:val="bullet"/>
      <w:lvlText w:val="•"/>
      <w:lvlJc w:val="left"/>
      <w:pPr>
        <w:ind w:left="8140" w:hanging="73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E8"/>
    <w:rsid w:val="001C73E8"/>
    <w:rsid w:val="00416A61"/>
    <w:rsid w:val="004D1C31"/>
    <w:rsid w:val="007D684F"/>
    <w:rsid w:val="00D66544"/>
    <w:rsid w:val="019A362C"/>
    <w:rsid w:val="060E1FD1"/>
    <w:rsid w:val="0AD772D6"/>
    <w:rsid w:val="0CA81750"/>
    <w:rsid w:val="0D146881"/>
    <w:rsid w:val="0EB503AE"/>
    <w:rsid w:val="14725956"/>
    <w:rsid w:val="23241D8E"/>
    <w:rsid w:val="24BA0F9B"/>
    <w:rsid w:val="30785D2D"/>
    <w:rsid w:val="3DFF7046"/>
    <w:rsid w:val="400D0D15"/>
    <w:rsid w:val="43D10506"/>
    <w:rsid w:val="475C5132"/>
    <w:rsid w:val="4EE11AF9"/>
    <w:rsid w:val="50E62FE9"/>
    <w:rsid w:val="57053850"/>
    <w:rsid w:val="73600381"/>
    <w:rsid w:val="74EA20BB"/>
    <w:rsid w:val="77FB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eastAsia="Calibri" w:cs="Bookman Old Style"/>
      <w:color w:val="000000"/>
      <w:sz w:val="24"/>
      <w:szCs w:val="24"/>
      <w:lang w:val="pt-BR" w:eastAsia="en-US" w:bidi="ar-SA"/>
    </w:rPr>
  </w:style>
  <w:style w:type="paragraph" w:customStyle="1" w:styleId="7">
    <w:name w:val="Standard"/>
    <w:qFormat/>
    <w:uiPriority w:val="99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val="pt-BR" w:eastAsia="zh-CN" w:bidi="hi-IN"/>
    </w:rPr>
  </w:style>
  <w:style w:type="paragraph" w:customStyle="1" w:styleId="8">
    <w:name w:val="Table Contents"/>
    <w:basedOn w:val="7"/>
    <w:qFormat/>
    <w:uiPriority w:val="99"/>
    <w:pPr>
      <w:suppressLineNumbers/>
    </w:pPr>
  </w:style>
  <w:style w:type="character" w:customStyle="1" w:styleId="9">
    <w:name w:val="Cabeçalho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Rodapé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font21"/>
    <w:qFormat/>
    <w:uiPriority w:val="0"/>
    <w:rPr>
      <w:rFonts w:hint="default" w:ascii="Arial" w:hAnsi="Arial" w:cs="Arial"/>
      <w:color w:val="000000"/>
      <w:u w:val="none"/>
    </w:rPr>
  </w:style>
  <w:style w:type="character" w:customStyle="1" w:styleId="12">
    <w:name w:val="font11"/>
    <w:qFormat/>
    <w:uiPriority w:val="0"/>
    <w:rPr>
      <w:rFonts w:hint="default" w:ascii="Arial" w:hAnsi="Arial" w:cs="Arial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908</Words>
  <Characters>4907</Characters>
  <Lines>40</Lines>
  <Paragraphs>11</Paragraphs>
  <TotalTime>13</TotalTime>
  <ScaleCrop>false</ScaleCrop>
  <LinksUpToDate>false</LinksUpToDate>
  <CharactersWithSpaces>5804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2023-09-19T17:01:00Z</dcterms:created>
  <dc:creator>ACESSORIA JURIDICA</dc:creator>
  <cp:lastModifiedBy>CONSÓRCIO CODENOP</cp:lastModifiedBy>
  <cp:lastPrinted>2024-05-09T18:25:00Z</cp:lastPrinted>
  <dcterms:modified xsi:type="dcterms:W3CDTF">2025-03-11T14:13:05Z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1046-12.2.0.20323</vt:lpwstr>
  </property>
  <property fmtid="{D5CDD505-2E9C-101B-9397-08002B2CF9AE}" pid="3" name="ICV">
    <vt:lpwstr>283A2A7BD41D4C918F13306B26FDD323_13</vt:lpwstr>
  </property>
</Properties>
</file>